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TechFachwPrV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des Berufsbildungsgesetzes vom 23. März 2005 (BGBl. I S. 931) und in Verbindung mit § 1 des Zuständigkeitsanpassungsgesetzes vom 16. August 2002 (BGBl. I S. 3165) und dem Organisationserlass vom 22. November 2005 (BGBl. I S. 3197) verordnet das Bundesministerium für Bildung und Forschung nach Anhörung des Hauptausschusses des Bundesinstituts für Berufsbildung im Einvernehmen mit dem Bundesministerium für Wirtschaft und Technologie und auf Grund des § 30 Abs. 5 des Berufsbildungsgesetzes vom 23. März 2005 (BGBl. I S. 931) verordnet das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