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TechFachwPrV — Inkrafttreten</w:t>
      </w:r>
    </w:p>
    <w:p>
      <w:r>
        <w:rPr>
          <w:color w:val="555555"/>
          <w:sz w:val="18"/>
        </w:rPr>
        <w:t xml:space="preserve">Verordnung über die Prüfung zum anerkannten Abschluss Geprüfter Technischer Fachwirt/Geprüfte Technische Fachwirtin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Diese Verordnung tritt am 1. Februar 2006 in Kraft.</w:t>
      </w:r>
    </w:p>
    <w:p>
      <w:r>
        <w:rPr>
          <w:color w:val="555555"/>
          <w:sz w:val="17"/>
        </w:rPr>
        <w:t xml:space="preserve">Zitiervorschlag: § 14 TechFachwPrV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https://recht.nulegal.eu/gesetze/TechFachwPrV/14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