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TauchPrV 2000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Taucher/Geprüfte Taucherin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„Fachtheoretischen Teil“ sind als Prüfungsleistungen die schriftlichen Prüfungen in jedem Prüfungsbereich nach § 6 Absatz 1 zu bewerten. Ist in einem Prüfungsbereich auch eine mündliche Prüfung nach § 6 Absatz 9 durchgeführt worden, so wird als Bewertung dieses Prüfungsbereichs das arithmetische Mittel aus der Bewertung der schriftlichen und mündlichen Prüfung berechnet.</w:t>
      </w:r>
    </w:p>
    <w:p>
      <w:r>
        <w:t xml:space="preserve">(3) Im „Fachpraktischen Teil“ sind die Prüfungsleistungen in den Handlungsbereichen „Handhabung der Tauch- und Arbeitsgeräte“ und „Durchführung von Taucherarbeiten“ nach § 7 Absatz 1 zu bewerten.</w:t>
      </w:r>
    </w:p>
    <w:p>
      <w:r>
        <w:rPr>
          <w:color w:val="555555"/>
          <w:sz w:val="17"/>
        </w:rPr>
        <w:t xml:space="preserve">Zitiervorschlag: § 9 TauchPrV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https://recht.nulegal.eu/gesetze/TauchPrV%202000/9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