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TauchPrV 2000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10 Absatz 3 entsprechend ihrem Verhältnis zueinander. Allein diese Prüfungsbestandteile sind den Entscheidungen des Prüfungsausschusses zugrunde zu legen.</w:t>
      </w:r>
    </w:p>
    <w:p>
      <w:r>
        <w:t xml:space="preserve">(2) Auf den Fortbildungsgang werden bei öffentlichen Institutionen innerhalb der letzten fünf Jahre absolvierte Bildungsmaßnahmen angerechnet, die den Anforderungen der Anlagen 3 und 4 entsprechen.</w:t>
      </w:r>
    </w:p>
    <w:p>
      <w:r>
        <w:rPr>
          <w:color w:val="555555"/>
          <w:sz w:val="17"/>
        </w:rPr>
        <w:t xml:space="preserve">Zitiervorschlag: § 8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