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TauchPrV 2000 — Dauer und Inhalt des Fortbildungsganges</w:t>
      </w:r>
    </w:p>
    <w:p>
      <w:r>
        <w:rPr>
          <w:color w:val="555555"/>
          <w:sz w:val="18"/>
        </w:rPr>
        <w:t xml:space="preserve">Verordnung über die Prüfung zum anerkannten Abschluss Geprüfter Taucher/Geprüfte Taucherin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Fortbildungsgang gliedert sich in einen Fortbildungslehrgang und eine betriebliche Fortbildung.</w:t>
      </w:r>
    </w:p>
    <w:p>
      <w:r>
        <w:t xml:space="preserve">(2) Der Fortbildungslehrgang dauert in der Regel 320 Unterrichtsstunden. In ihm werden die in der Anlage 3 beschriebenen Kenntnisse und Fertigkeiten vermittelt.</w:t>
      </w:r>
    </w:p>
    <w:p>
      <w:r>
        <w:t xml:space="preserve">(3) Die betriebliche Fortbildung erfolgt in Tauchbetrieben. Die Tauchbetriebe haben die für Taucherarbeiten jeweils geltenden Unfallverhütungsvorschriften zu erfüllen. Mit der Durchführung der Fortbildung ist ein festangestellter Tauchermeister/eine festangestellte Tauchermeisterin zu beauftragen, der/die die Prüfung Tauchermeister/Tauchermeisterin auf Grund einer Rechtsvorschrift nach § 46 Abs. 1 Berufsbildungsgesetz bestanden hat. Die Fortbildung umfasst mindestens 200 Tauchstunden. Es sind die in der Anlage 2 beschriebenen Kenntnisse und Fertigkeiten zu vermitteln.</w:t>
      </w:r>
    </w:p>
    <w:p>
      <w:r>
        <w:t xml:space="preserve">(4) Über die regelmäßige Teilnahme am Fortbildungsgang ist eine Bescheinigung auszustellen.</w:t>
      </w:r>
    </w:p>
    <w:p>
      <w:r>
        <w:rPr>
          <w:color w:val="555555"/>
          <w:sz w:val="17"/>
        </w:rPr>
        <w:t xml:space="preserve">Zitiervorschlag: § 4 TauchPrV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https://recht.nulegal.eu/gesetze/TauchPrV%202000/4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