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TauchPrV 2000 — Ziel der beruflichen Fortbildung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Taucher/Geprüfte Taucherin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Durch die Teilnahme an dem Fortbildungsgang nach § 1 Abs. 1 sollen Kenntnisse, Fertigkeiten und Erfahrungen, die in der Berufsausbildung und der betrieblichen Praxis erworben wurden, vertieft und ergänzt werden.</w:t>
      </w:r>
    </w:p>
    <w:p>
      <w:r>
        <w:t xml:space="preserve">(2) Durch die Prüfung ist festzustellen, ob die zu prüfende Person die notwendigen Kenntnisse, Fertigkeiten und Erfahrungen hat, folgende Aufgaben eines Tauchers wahrzunehmen:</w:t>
      </w:r>
    </w:p>
    <w:p>
      <w:pPr>
        <w:ind w:left="420"/>
      </w:pPr>
      <w:r>
        <w:t xml:space="preserve">1. Bedienen, Warten und Einsatz der Druckluft-Tauchgeräte,</w:t>
      </w:r>
    </w:p>
    <w:p>
      <w:pPr>
        <w:ind w:left="420"/>
      </w:pPr>
      <w:r>
        <w:t xml:space="preserve">2. Bedienen, Warten und Einsatz der Anlagen und Geräte für das Arbeiten unter Wasser,</w:t>
      </w:r>
    </w:p>
    <w:p>
      <w:pPr>
        <w:ind w:left="420"/>
      </w:pPr>
      <w:r>
        <w:t xml:space="preserve">3. Durchführen von Arbeiten unter Wasser,</w:t>
      </w:r>
    </w:p>
    <w:p>
      <w:pPr>
        <w:ind w:left="420"/>
      </w:pPr>
      <w:r>
        <w:t xml:space="preserve">4. Beachten und Einhalten der Vorschriften über Arbeits-, Umwelt- und Gesundheitsschutz bei Taucherarbeiten; Gewährleisten der Arbeitssicherheit.</w:t>
      </w:r>
    </w:p>
    <w:p>
      <w:r>
        <w:t xml:space="preserve">(3) Die erfolgreich abgelegte Prüfung führt zum anerkannten Abschluss "Geprüfter Taucher/Geprüfte Taucherin".</w:t>
      </w:r>
    </w:p>
    <w:p>
      <w:r>
        <w:rPr>
          <w:color w:val="555555"/>
          <w:sz w:val="17"/>
        </w:rPr>
        <w:t xml:space="preserve">Zitiervorschlag: § 2 TauchPrV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https://recht.nulegal.eu/gesetze/TauchPrV%202000/2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