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 TauchPrV 2000 — Anwendungsbereich</w:t>
      </w:r>
    </w:p>
    <w:p>
      <w:r>
        <w:rPr>
          <w:color w:val="555555"/>
          <w:sz w:val="18"/>
        </w:rPr>
        <w:t xml:space="preserve">Verordnung über die Prüfung zum anerkannten Abschluss Geprüfter Taucher/Geprüfte Taucherin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Zur Vorbereitung auf die Taucherprüfung kann die zuständige Stelle bei nach Art und Einrichtung geeigneten Taucherbetrieben Fortbildungsgänge nach § 4 durchführen oder durchführen lassen.</w:t>
      </w:r>
    </w:p>
    <w:p>
      <w:r>
        <w:t xml:space="preserve">(2) Zum Nachweis von Kenntnissen, Fertigkeiten und Erfahrungen, die durch die berufliche Fortbildung zum Taucher erworben worden sind, kann die zuständige Stelle Prüfungen nach den §§ 3, 5 bis 11 durchführen.</w:t>
      </w:r>
    </w:p>
    <w:p>
      <w:r>
        <w:rPr>
          <w:color w:val="555555"/>
          <w:sz w:val="17"/>
        </w:rPr>
        <w:t xml:space="preserve">Zitiervorschlag: § 1 TauchPrV 2000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https://recht.nulegal.eu/gesetze/TauchPrV%202000/1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