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TarifOAufhV</w:t>
      </w:r>
    </w:p>
    <w:p>
      <w:r>
        <w:rPr>
          <w:color w:val="555555"/>
          <w:sz w:val="18"/>
        </w:rPr>
        <w:t xml:space="preserve">Verordnung über die Aufhebung von Tarifordnungen und Lohngestaltungsanordnungen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2 des Tarifvertragsgesetzes vom 9. April 1949 (Gesetzblatt der Verwaltung des Vereinigten Wirtschaftsgebietes S. 55) in Verbindung mit Artikel 129 Abs. 1 des Grundgesetzes wird nach Anhörung der Obersten Arbeitsbehörden der Länder und des Tarifausschusses verordnet:</w:t>
      </w:r>
    </w:p>
    <w:p>
      <w:r>
        <w:rPr>
          <w:color w:val="555555"/>
          <w:sz w:val="17"/>
        </w:rPr>
        <w:t xml:space="preserve">Zitiervorschlag: Eingangsformel TarifOAufhV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https://recht.nulegal.eu/gesetze/TarifOAufhV/eingangsformel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