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TarifOAufhV</w:t>
      </w:r>
    </w:p>
    <w:p>
      <w:r>
        <w:rPr>
          <w:color w:val="555555"/>
          <w:sz w:val="18"/>
        </w:rPr>
        <w:t xml:space="preserve">Verordnung über die Aufhebung von Tarifordnungen und Lohngestaltungsanordnungen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1971 in Kraft.</w:t>
      </w:r>
    </w:p>
    <w:p>
      <w:r>
        <w:rPr>
          <w:color w:val="555555"/>
          <w:sz w:val="17"/>
        </w:rPr>
        <w:t xml:space="preserve">Zitiervorschlag: § 2 TarifOAufhV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https://recht.nulegal.eu/gesetze/TarifOAufhV/2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