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TamPV</w:t>
      </w:r>
    </w:p>
    <w:p>
      <w:r>
        <w:rPr>
          <w:color w:val="555555"/>
          <w:sz w:val="18"/>
        </w:rPr>
        <w:t xml:space="preserve">Tierarzneimittel-Prüfrichtlinienverordnung</w:t>
      </w:r>
    </w:p>
    <w:p>
      <w:r>
        <w:rPr>
          <w:color w:val="555555"/>
          <w:sz w:val="18"/>
        </w:rPr>
        <w:t xml:space="preserve">Historische Fassung: Stand 10.06.2019 bis 07.01.2023. Dies ist nicht die aktuelle Fassung.</w:t>
      </w:r>
    </w:p>
    <w:p>
      <w:r>
        <w:t xml:space="preserve">Auf Grund des § 26 Absatz 1 des Arzneimittelgesetzes in der Fassung der Bekanntmachung vom 12. Dezember 2005 (BGBl. I S. 3394) verordnet das Bundesministerium für Gesundheit nach Anhörung von Sachverständigen im Einvernehmen mit dem Bundesministerium für Umwelt, Naturschutz und Reaktorsicherheit und dem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TamPV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