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TamPV</w:t>
      </w:r>
    </w:p>
    <w:p>
      <w:r>
        <w:rPr>
          <w:color w:val="555555"/>
          <w:sz w:val="18"/>
        </w:rPr>
        <w:t xml:space="preserve">Tierarzneimittel-Prüfrichtlinienverordnung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 nach den §§ 22 bis 24, auch in Verbindung mit § 38 Absatz 2 des Arzneimittelgesetzes bei der nach § 77 Absatz 2 oder 3 Satz 1 des Arzneimittelgesetzes jeweils zuständigen Bundesoberbehörde einzureichenden Angaben, Unterlagen und Gutachten müssen die Anforderungen erfüllen, die in Anhang I Titel I, II, III und IV Nummer 2 der Richtlinie 2001/82/EG des Europäischen Parlaments und des Rates vom 6. November 2001 zur Schaffung eines Gemeinschaftskodexes für Tierarzneimittel (ABl. L 311 vom 28.11.2001, S. 1) in der jeweils geltenden Fassung geregelt sind.</w:t>
      </w:r>
    </w:p>
    <w:p>
      <w:r>
        <w:rPr>
          <w:color w:val="555555"/>
          <w:sz w:val="17"/>
        </w:rPr>
        <w:t xml:space="preserve">Zitiervorschlag: § 1 TamPV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