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2 TabakerzV — (zu § 28) Verbotene Inhaltsstoffe in elektronischen Zigaretten und Nachfüllbehältern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(Fundstelle: BGBl. I 2017, 1203 – 1204; bzgl. der einzelnen Änderungen vgl. Fußnote)</w:t>
      </w:r>
    </w:p>
    <w:p>
      <w:pPr>
        <w:ind w:left="420"/>
      </w:pPr>
      <w:r>
        <w:t xml:space="preserve">1. Vitamine oder folgende sonstige Zusatzstoffe, die den Eindruck erwecken, dass der Konsum einer elektronischen Zigarette oder eines Nachfüllbehälters einen gesundheitlichen Nutzen habe oder geringere Gesundheitsrisiken berge:</w:t>
      </w:r>
    </w:p>
    <w:p>
      <w:pPr>
        <w:ind w:left="780"/>
      </w:pPr>
      <w:r>
        <w:t xml:space="preserve">a) Aminosäuren und modifizierte Aminosäuren sowie S-Adenosylmethionin und L-5-Hydroxytryptophan</w:t>
      </w:r>
    </w:p>
    <w:p>
      <w:pPr>
        <w:ind w:left="780"/>
      </w:pPr>
      <w:r>
        <w:t xml:space="preserve">b) CarnitinL-CarnitinL-CarnitinhydrochloridL-Carnitin-L-Tartrat</w:t>
      </w:r>
    </w:p>
    <w:p>
      <w:pPr>
        <w:ind w:left="780"/>
      </w:pPr>
      <w:r>
        <w:t xml:space="preserve">c) Flavonoide sowie antioxidativ wirksame Phospholipide</w:t>
      </w:r>
    </w:p>
    <w:p>
      <w:pPr>
        <w:ind w:left="780"/>
      </w:pPr>
      <w:r>
        <w:t xml:space="preserve">d) Natriumselenit</w:t>
      </w:r>
    </w:p>
    <w:p>
      <w:pPr>
        <w:ind w:left="420"/>
      </w:pPr>
      <w:r>
        <w:t xml:space="preserve">2. Koffein, Taurin oder folgende sonstige Zusatzstoffe und stimulierende Mischungen, die mit Energie und Vitalität assoziiert werden:</w:t>
      </w:r>
    </w:p>
    <w:p>
      <w:pPr>
        <w:ind w:left="780"/>
      </w:pPr>
      <w:r>
        <w:t xml:space="preserve">a) Maltodextrin</w:t>
      </w:r>
    </w:p>
    <w:p>
      <w:pPr>
        <w:ind w:left="780"/>
      </w:pPr>
      <w:r>
        <w:t xml:space="preserve">b) Glucose, Fructose und Galactose</w:t>
      </w:r>
    </w:p>
    <w:p>
      <w:pPr>
        <w:ind w:left="780"/>
      </w:pPr>
      <w:r>
        <w:t xml:space="preserve">c) Bestandteile einschließlich verarbeiteter Bestandteile, Extrakte und Öle der Kaffeepflanze und der Kaffeebohnen</w:t>
      </w:r>
    </w:p>
    <w:p>
      <w:pPr>
        <w:ind w:left="780"/>
      </w:pPr>
      <w:r>
        <w:t xml:space="preserve">d) Bestandteile einschließlich verarbeiteter Bestandteile, Extrakte und Öle des Teestrauches Camellia sinensis L. Kuntze</w:t>
      </w:r>
    </w:p>
    <w:p>
      <w:pPr>
        <w:ind w:left="780"/>
      </w:pPr>
      <w:r>
        <w:t xml:space="preserve">e) Bestandteile einschließlich verarbeiteter Bestandteile, Extrakte und Öle der Guaranapflanze</w:t>
      </w:r>
    </w:p>
    <w:p>
      <w:pPr>
        <w:ind w:left="780"/>
      </w:pPr>
      <w:r>
        <w:t xml:space="preserve">f) Bestandteile einschließlich verarbeiteter Bestandteile, Extrakte und Öle des Mate-Strauches</w:t>
      </w:r>
    </w:p>
    <w:p>
      <w:pPr>
        <w:ind w:left="780"/>
      </w:pPr>
      <w:r>
        <w:t xml:space="preserve">g) Thujon</w:t>
      </w:r>
    </w:p>
    <w:p>
      <w:pPr>
        <w:ind w:left="420"/>
      </w:pPr>
      <w:r>
        <w:t xml:space="preserve">3. Zusatzstoffe, die färbende Eigenschaften für Emissionen haben</w:t>
      </w:r>
    </w:p>
    <w:p>
      <w:pPr>
        <w:ind w:left="420"/>
      </w:pPr>
      <w:r>
        <w:t xml:space="preserve">4. folgende Zusatzstoffe, die in unverbrannter Form CMR-Eigenschaften haben:</w:t>
      </w:r>
    </w:p>
    <w:p>
      <w:pPr>
        <w:ind w:left="780"/>
      </w:pPr>
      <w:r>
        <w:t xml:space="preserve">a) Stoffe, die gemäß Teil 3 des Anhangs VI der Verordnung (EG) Nr. 1272/2008 des Europäischen Parlaments und des Rates vom 16. Dezember 2008 über die Einstufung, Kennzeichnung und Verpackung von Stoffen und Gemischen, zur Änderung und Aufhebung der Richtlinien 67/548/EWG und 1999/45/EG und zur Änderung der Verordnung (EG) Nr. 1907/2006 (ABl. L 353 vom 31.12.2008, S. 1), die zuletzt durch die Verordnung (EU) 2016/1179 (ABl. L 195 vom 20.7.2016, S. 11) geändert worden ist, als CMR-Stoffe der Kategorie 1A, 1B oder 2 eingestuft sind</w:t>
      </w:r>
    </w:p>
    <w:p>
      <w:pPr>
        <w:ind w:left="780"/>
      </w:pPr>
      <w:r>
        <w:t xml:space="preserve">b) folgende weitere Stoffe:Birkenteeröl (CAS-Nr. 8001-88-5 und CAS-Nr. 85940-29-0)Wacholderteeröl (CAS-Nr. 8013-10-03)SassafrasölSassafrasholzSassafrasblätterSassafrasrindeMethyleugenol (CAS-Nr. 93-15-2)Estragol (CAS-Nr. 140-67-0)Para-Hydroxybenzoesäure-Propylester (CAS-Nr. 94-13-3)</w:t>
      </w:r>
    </w:p>
    <w:p>
      <w:pPr>
        <w:ind w:left="420"/>
      </w:pPr>
      <w:r>
        <w:t xml:space="preserve">5. folgende Inhaltsstoffe außer Nikotin in der Flüssigkeit, die in erhitzter oder nicht erhitzter Form ein Risiko für die menschliche Gesundheit darstellen:</w:t>
      </w:r>
    </w:p>
    <w:p>
      <w:pPr>
        <w:ind w:left="780"/>
      </w:pPr>
      <w:r>
        <w:t xml:space="preserve">a) folgende Aromastoffe:Diacetyl (2,3-Butandion) (CAS-Nr. 431-03-8)2,3-Pentandion (CAS-Nr. 600-14-6)2,3-Hexandion (CAS-Nr. 3848-24-6)2,3-Heptandion (CAS-Nr. 96-04-8)Cumarin</w:t>
      </w:r>
    </w:p>
    <w:p>
      <w:pPr>
        <w:ind w:left="780"/>
      </w:pPr>
      <w:r>
        <w:t xml:space="preserve">b) folgende aus Pflanzen gewonnene Stoffe:BittermandelölVerarbeitete Bestandteile und Extrakte des EngelsüßwurzelstocksVerarbeitete Bestandteile, Extrakte und Öle, die aus der Pflanze Poleyminze stammenAgarizinsäure</w:t>
      </w:r>
    </w:p>
    <w:p>
      <w:r>
        <w:rPr>
          <w:color w:val="555555"/>
          <w:sz w:val="17"/>
        </w:rPr>
        <w:t xml:space="preserve">Zitiervorschlag: Anlage 2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https://recht.nulegal.eu/gesetze/TabakerzV/anlage-2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