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TabakerzV — Zulassung neuartiger Tabakerzeugnisse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nach § 12 Absatz 1 des Tabakerzeugnisgesetzes erfolgt auf elektronischen Antrag des Herstellers oder Importeurs.</w:t>
      </w:r>
    </w:p>
    <w:p>
      <w:r>
        <w:t xml:space="preserve">(2) Dem Antrag ist Folgendes in elektronischer Form beizufügen:</w:t>
      </w:r>
    </w:p>
    <w:p>
      <w:pPr>
        <w:ind w:left="420"/>
      </w:pPr>
      <w:r>
        <w:t xml:space="preserve">1. der Name, die Anschrift und die elektronischen Kontaktdaten des Herstellers oder des Importeurs,</w:t>
      </w:r>
    </w:p>
    <w:p>
      <w:pPr>
        <w:ind w:left="420"/>
      </w:pPr>
      <w:r>
        <w:t xml:space="preserve">2. eine Beschreibung des neuartigen Tabakerzeugnisses sowie eine Gebrauchsanweisung und Informationen über Inhaltsstoffe und Emissionen sowie die verwendeten Analysemethoden und Messverfahren gemäß § 6 Absatz 1 Nummer 2 bis 4,</w:t>
      </w:r>
    </w:p>
    <w:p>
      <w:pPr>
        <w:ind w:left="420"/>
      </w:pPr>
      <w:r>
        <w:t xml:space="preserve">3. verfügbare wissenschaftliche Studien zu Toxizität, suchterzeugenden Wirkungen und Attraktivität des neuartigen Tabakerzeugnisses, insbesondere in Bezug auf seine Inhaltsstoffe und Emissionen,</w:t>
      </w:r>
    </w:p>
    <w:p>
      <w:pPr>
        <w:ind w:left="420"/>
      </w:pPr>
      <w:r>
        <w:t xml:space="preserve">4. verfügbare Studien zur Marktforschung und zu den Präferenzen der betroffenen Verbrauchergruppen hinsichtlich der Inhaltsstoffe und Emissionen sowie Zusammenfassungen der Marktstudien, die sie anlässlich der Markteinführung neuer Tabakerzeugnisse anfertigen, und</w:t>
      </w:r>
    </w:p>
    <w:p>
      <w:pPr>
        <w:ind w:left="420"/>
      </w:pPr>
      <w:r>
        <w:t xml:space="preserve">5. sonstige verfügbare Informationen, einschließlich einer Risiko-Nutzen-Analyse des neuartigen Tabakerzeugnisses, seiner zu erwartenden Auswirkungen auf den Ausstieg aus dem Tabakkonsum und den Einstieg in den Tabakkonsum sowie zu erwartende Verbraucherwahrnehmungen.</w:t>
      </w:r>
    </w:p>
    <w:p>
      <w:r>
        <w:t xml:space="preserve">(3) Bei Änderungen der Zusammensetzung, von der die Informationen nach Absatz 2 Nummer 2 berührt sind, oder wenn neue Studien oder Informationen im Sinne des Absatzes 2 Nummer 3 bis 5 vorliegen, sind entsprechende Unterlagen der zuständigen Behörde unverzüglich nachzureichen.</w:t>
      </w:r>
    </w:p>
    <w:p>
      <w:r>
        <w:t xml:space="preserve">(4) Hersteller und Importeure neuartiger Tabakerzeugnisse sind verpflichtet, auf Anforderung der zuständigen Behörde zusätzliche Untersuchungen durchzuführen und der zuständigen Behörde auf Anforderung zusätzliche Informationen vorzulegen.</w:t>
      </w:r>
    </w:p>
    <w:p>
      <w:r>
        <w:t xml:space="preserve">(5) Die Zulassung enthält auch die Feststellung, ob das neuartige Tabakerzeugnis ein Rauchtabakerzeugnis oder ein rauchloses Tabakerzeugnis ist.</w:t>
      </w:r>
    </w:p>
    <w:p>
      <w:r>
        <w:rPr>
          <w:color w:val="555555"/>
          <w:sz w:val="17"/>
        </w:rPr>
        <w:t xml:space="preserve">Zitiervorschlag: § 9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