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TabakerzV — Studien und Informationspflichten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Hersteller und Importeure von Tabakerzeugnissen sind verpflichtet, der zuständigen Behörde jährlich bis zum 30. Juni eines jeden Kalenderjahres in elektronischer Form Folgendes vorzulegen:</w:t>
      </w:r>
    </w:p>
    <w:p>
      <w:pPr>
        <w:ind w:left="420"/>
      </w:pPr>
      <w:r>
        <w:t xml:space="preserve">1. verfügbare Studien zur Marktforschung, insbesondere zu den Präferenzen der betroffenen Verbrauchergruppen hinsichtlich der Inhaltsstoffe und Emissionen sowie Zusammenfassungen der Marktstudien, die sie anlässlich der Markteinführung neuer Tabakerzeugnisse anfertigen, und</w:t>
      </w:r>
    </w:p>
    <w:p>
      <w:pPr>
        <w:ind w:left="420"/>
      </w:pPr>
      <w:r>
        <w:t xml:space="preserve">2. Mitteilungen über die Verkaufsmengen des vorangegangenen Kalenderjahres, in Stück oder Kilogramm, beginnend mit dem 1. Januar 2015 und aufgeschlüsselt nach Markennamen und Art der Tabakerzeugnisse.</w:t>
      </w:r>
    </w:p>
    <w:p>
      <w:r>
        <w:t xml:space="preserve">(2) Für Mitteilungen nach Absatz 1 Nummer 2 gilt § 6 Absatz 4 entsprechend.</w:t>
      </w:r>
    </w:p>
    <w:p>
      <w:r>
        <w:rPr>
          <w:color w:val="555555"/>
          <w:sz w:val="17"/>
        </w:rPr>
        <w:t xml:space="preserve">Zitiervorschlag: § 7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