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TabakerzV — Mitteilungspflichten</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und Importeure von Tabakerzeugnissen sind verpflichtet, der zuständigen Behörde in einer nach Markennamen und Art der Tabakerzeugnisse gegliederten Liste Folgendes mitzuteilen:</w:t>
      </w:r>
    </w:p>
    <w:p>
      <w:pPr>
        <w:ind w:left="420"/>
      </w:pPr>
      <w:r>
        <w:t xml:space="preserve">1. den Namen, die Anschrift und die elektronischen Kontaktdaten des Herstellers oder des Importeurs,</w:t>
      </w:r>
    </w:p>
    <w:p>
      <w:pPr>
        <w:ind w:left="420"/>
      </w:pPr>
      <w:r>
        <w:t xml:space="preserve">2. alle bei der Herstellung verwendeten Inhaltsstoffe einschließlich ihrer Mengen in absteigender Reihenfolge ihres Gewichtsanteils,</w:t>
      </w:r>
    </w:p>
    <w:p>
      <w:pPr>
        <w:ind w:left="420"/>
      </w:pPr>
      <w:r>
        <w:t xml:space="preserve">3. die in § 4 Absatz 1 des Tabakerzeugnisgesetzes genannten Emissionswerte,</w:t>
      </w:r>
    </w:p>
    <w:p>
      <w:pPr>
        <w:ind w:left="420"/>
      </w:pPr>
      <w:r>
        <w:t xml:space="preserve">4. soweit verfügbar, Informationen über weitere Emissionen und ihre Werte und</w:t>
      </w:r>
    </w:p>
    <w:p>
      <w:pPr>
        <w:ind w:left="420"/>
      </w:pPr>
      <w:r>
        <w:t xml:space="preserve">5. die weiteren in Artikel 2 Absatz 1 in Verbindung mit dem Anhang des Durchführungsbeschlusses (EU) 2015/2186 der Kommission vom 25. November 2015 zur Festlegung eines Formats für die Bereitstellung und Verfügbarmachung von Informationen über Tabakerzeugnisse (ABl. L 312 vom 27.11.2015, S. 5) vorgesehenen Angaben zu den Produkteigenschaften, zur Produktbeschreibung, zur Verpackung, zur Spezifikation der Tabakerzeugnisse sowie zu Ort und Zeit der Markteinführung und -rücknahme.</w:t>
      </w:r>
    </w:p>
    <w:p>
      <w:r>
        <w:t xml:space="preserve">(2) Der Liste nach Absatz 1 ist eine Erklärung beizufügen, die Folgendes enthält:</w:t>
      </w:r>
    </w:p>
    <w:p>
      <w:pPr>
        <w:ind w:left="420"/>
      </w:pPr>
      <w:r>
        <w:t xml:space="preserve">1. die Gründe für die Verwendung der Inhaltsstoffe nach Absatz 1 Nummer 2,</w:t>
      </w:r>
    </w:p>
    <w:p>
      <w:pPr>
        <w:ind w:left="420"/>
      </w:pPr>
      <w:r>
        <w:t xml:space="preserve">2. den Status der Inhaltsstoffe, insbesondere ob sie gemäß der Verordnung (EG) Nr. 1907/2006 des Europäischen Parlaments und des Rates vom 18. Dezember 2006 zur Registrierung, Bewertung, Zulassung und Beschränkung chemischer Stoffe (REACH), zur Schaffung einer Europäischen Agentur für chemische Stoffe, zur Änderung der Richtlinie 1999/45/EG und zur Aufhebung der Verordnung (EWG) Nr. 793/93 des Rates, der Verordnung (EG) Nr. 1488/94 der Kommission, der Richtlinie 76/769/EWG des Rates sowie der Richtlinien 91/155/EWG, 93/67/EWG, 93/105/EG und 2000/21/EG der Kommission (ABl. L 136 vom 29.5.2007, S. 3) registriert worden sind,</w:t>
      </w:r>
    </w:p>
    <w:p>
      <w:pPr>
        <w:ind w:left="420"/>
      </w:pPr>
      <w:r>
        <w:t xml:space="preserve">3. die Einstufung der Inhaltsstoffe gemäß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und,</w:t>
      </w:r>
    </w:p>
    <w:p>
      <w:pPr>
        <w:ind w:left="420"/>
      </w:pPr>
      <w:r>
        <w:t xml:space="preserve">4. soweit verfügbar, die toxikologischen Daten der Inhaltsstoffe in verbrannter Form oder, bei rauchlosen Tabakerzeugnissen, in unverbrannter Form, insbesondere hinsichtlich ihrer Auswirkungen auf die Gesundheit der Verbraucher und ihrer suchterzeugenden Wirkung.</w:t>
      </w:r>
    </w:p>
    <w:p>
      <w:r>
        <w:t xml:space="preserve">(3) Hersteller und Importeure von Zigaretten und Tabak zum Selbstdrehen legen zusätzlich ein technisches Dokument mit einer allgemeinen Beschreibung der verwendeten Zusatzstoffe und ihrer Eigenschaften vor.</w:t>
      </w:r>
    </w:p>
    <w:p>
      <w:r>
        <w:t xml:space="preserve">(4) Die Mitteilung muss in elektronischer Form vor dem Inverkehrbringen erfolgen. Für die Mitteilung und das dabei anzuwendende Verfahren gelten die Artikel 2, 4, 5 und 6 Absatz 1 in Verbindung mit dem Anhang des Durchführungsbeschlusses (EU) 2015/2186. Auf Verlangen der in Artikel 4 Satz 1 des Durchführungsbeschlusses (EU) 2015/2186 genannten Stelle ist ein aktueller Auszug vorzulegen</w:t>
      </w:r>
    </w:p>
    <w:p>
      <w:pPr>
        <w:ind w:left="420"/>
      </w:pPr>
      <w:r>
        <w:t xml:space="preserve">1. aus einem auf gesetzlicher Grundlage errichteten amtlichen Unternehmensregister oder</w:t>
      </w:r>
    </w:p>
    <w:p>
      <w:pPr>
        <w:ind w:left="420"/>
      </w:pPr>
      <w:r>
        <w:t xml:space="preserve">2. aus einem anderen auf gesetzlicher Grundlage errichteten amtlichen Register, wenn dieses eine Angabe zum Zweck oder Gegenstand des Geschäftsbetriebes des Herstellers oder Importeurs enthält.</w:t>
      </w:r>
    </w:p>
    <w:p>
      <w:r>
        <w:t xml:space="preserve">Das Bundesamt für Verbraucherschutz und Lebensmittelsicherheit stellt sicher, dass die Informationen nach den Absätzen 1 bis 3 zentral gespeichert werden und dem Zugriff der Kommission und der Mitgliedstaaten für die Zwecke des Tabakerzeugnisgesetzes und dieser Verordnung unterliegen.</w:t>
      </w:r>
    </w:p>
    <w:p>
      <w:r>
        <w:t xml:space="preserve">(5) Bei Änderungen der Zusammensetzung eines Tabakerzeugnisses, von der die Angaben nach den Absätzen 1 bis 3 berührt sind, ist vor dem Inverkehrbringen eine erneute Mitteilung zu machen. Bei Tabakerzeugnissen, die am 20. Mai 2016 bereits in den Verkehr gebracht worden sind, muss die Mitteilung innerhalb von sechs Monaten ab diesem Datum erfolgen.</w:t>
      </w:r>
    </w:p>
    <w:p>
      <w:r>
        <w:t xml:space="preserve">(6) Hersteller und Importeure sind verpflichtet, auf Anforderung der zuständigen Behörde von dieser zu bestimmende wissenschaftliche Studien durchzuführen, um die Auswirkungen der Inhaltsstoffe auf die Gesundheit der Verbraucher unter Berücksichtigung insbesondere ihrer suchterzeugenden Wirkung und ihrer toxikologischen Daten zu bewerten. Die Ergebnisse dieser Studien sind der zuständigen Behörde auf Anforderung vorzulegen.</w:t>
      </w:r>
    </w:p>
    <w:p>
      <w:r>
        <w:rPr>
          <w:color w:val="555555"/>
          <w:sz w:val="17"/>
        </w:rPr>
        <w:t xml:space="preserve">Zitiervorschlag: § 6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