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TabakerzV — Übergangsregelungen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19 bis 23 sind für Zigaretten und Tabak zum Selbstdrehen ab dem 20. Mai 2019 und für die übrigen Tabakerzeugnisse ab dem 20. Mai 2024 anzuwenden.</w:t>
      </w:r>
    </w:p>
    <w:p>
      <w:r>
        <w:t xml:space="preserve">(2) Tabak zum Selbstdrehen in Beuteln, der</w:t>
      </w:r>
    </w:p>
    <w:p>
      <w:pPr>
        <w:ind w:left="420"/>
      </w:pPr>
      <w:r>
        <w:t xml:space="preserve">1. vor dem 20. Mai 2018</w:t>
      </w:r>
    </w:p>
    <w:p>
      <w:pPr>
        <w:ind w:left="780"/>
      </w:pPr>
      <w:r>
        <w:t xml:space="preserve">a) hergestellt oder</w:t>
      </w:r>
    </w:p>
    <w:p>
      <w:pPr>
        <w:ind w:left="780"/>
      </w:pPr>
      <w:r>
        <w:t xml:space="preserve">b) in den freien Verkehr gebracht und</w:t>
      </w:r>
    </w:p>
    <w:p>
      <w:pPr>
        <w:ind w:left="420"/>
      </w:pPr>
      <w:r>
        <w:t xml:space="preserve">2. nach § 13 Absatz 4 Satz 3 gekennzeichnet wurde,</w:t>
      </w:r>
    </w:p>
    <w:p>
      <w:r>
        <w:t xml:space="preserve">darf noch bis zum 20. Mai 2019 in den Verkehr gebracht werden oder im Verkehr verbleiben.</w:t>
      </w:r>
    </w:p>
    <w:p>
      <w:r>
        <w:t xml:space="preserve">(3) Anlage 1 Nummer 4 Buchstabe d Doppelbuchstabe aa ist ab dem 20. Mai 2020 anzuwenden.</w:t>
      </w:r>
    </w:p>
    <w:p>
      <w:r>
        <w:rPr>
          <w:color w:val="555555"/>
          <w:sz w:val="17"/>
        </w:rPr>
        <w:t xml:space="preserve">Zitiervorschlag: § 34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