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TabakerzV — Ordnungswidrigkeiten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35 Absatz 2 Nummer 1 Buchstabe a des Tabakerzeugnisgesetzes handelt, wer vorsätzlich oder fahrlässig</w:t>
      </w:r>
    </w:p>
    <w:p>
      <w:pPr>
        <w:ind w:left="420"/>
      </w:pPr>
      <w:r>
        <w:t xml:space="preserve">1. entgegen § 10 Absatz 1 oder 3 eine Zigarette oder Tabak zum Selbstdrehen in den Verkehr bringt oder</w:t>
      </w:r>
    </w:p>
    <w:p>
      <w:pPr>
        <w:ind w:left="420"/>
      </w:pPr>
      <w:r>
        <w:t xml:space="preserve">2. entgegen § 27 Absatz 1 Satz 1 eine Liste mit den Angaben nach § 27 Absatz 1 Satz 2 Nummer 1 oder 2 nicht, nicht richtig, nicht vollständig oder nicht rechtzeitig anbringt.</w:t>
      </w:r>
    </w:p>
    <w:p>
      <w:r>
        <w:rPr>
          <w:color w:val="555555"/>
          <w:sz w:val="17"/>
        </w:rPr>
        <w:t xml:space="preserve">Zitiervorschlag: § 33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