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TabakerzV — Veröffentlichung von Informationen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für Ernährung und Landwirtschaft oder das Bundesamt für Verbraucherschutz und Lebensmittelsicherheit gibt die Informationen, die es gemäß § 6 Absatz 1 Nummer 2 bis 4, § 8, § 24 Absatz 1 und § 29 erhält, im Internet bekannt.</w:t>
      </w:r>
    </w:p>
    <w:p>
      <w:r>
        <w:t xml:space="preserve">(2) Rechtsmäßig als Geschäftsgeheimnisse oder andere als vertraulich gekennzeichnete Informationen dürfen nicht veröffentlicht werden. Die Vorschriften zum Schutz personenbezogener Daten bleiben unberührt.</w:t>
      </w:r>
    </w:p>
    <w:p>
      <w:r>
        <w:rPr>
          <w:color w:val="555555"/>
          <w:sz w:val="17"/>
        </w:rPr>
        <w:t xml:space="preserve">Zitiervorschlag: § 32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