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TabakerzV — Grenzüberschreitender Fernabsatz an Verbraucher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Registrierung nach § 22 Absatz 1 Nummer 2 des Tabakerzeugnisgesetzes erfolgt auf Antrag. Der Antrag muss folgende Angaben enthalten:</w:t>
      </w:r>
    </w:p>
    <w:p>
      <w:pPr>
        <w:ind w:left="420"/>
      </w:pPr>
      <w:r>
        <w:t xml:space="preserve">1. den Namen, die Anschrift und die elektronischen Kontaktdaten der Person, die grenzüberschreitenden Fernabsatz von Tabakerzeugnissen, elektronischen Zigaretten oder Nachfüllbehältern an Verbraucher in der Europäischen Union betreiben will,</w:t>
      </w:r>
    </w:p>
    <w:p>
      <w:pPr>
        <w:ind w:left="420"/>
      </w:pPr>
      <w:r>
        <w:t xml:space="preserve">2. das Datum, an dem die Person Tabakerzeugnisse, elektronische Zigaretten oder Nachfüllbehälter im grenzüberschreitenden Fernabsatz an Verbraucher erstmals bereitstellt,</w:t>
      </w:r>
    </w:p>
    <w:p>
      <w:pPr>
        <w:ind w:left="420"/>
      </w:pPr>
      <w:r>
        <w:t xml:space="preserve">3. das eindeutige Ordnungsmerkmal, die Domaininformationen und die Landzuordnung, über die die Tabakerzeugnisse, elektronischen Zigaretten oder Nachfüllbehälter im Internet angeboten werden, und</w:t>
      </w:r>
    </w:p>
    <w:p>
      <w:pPr>
        <w:ind w:left="420"/>
      </w:pPr>
      <w:r>
        <w:t xml:space="preserve">4. eine Beschreibung der Einzelheiten und der Funktionsweise des Altersüberprüfungssystems nach § 22 Absatz 1 Nummer 1 des Tabakerzeugnisgesetzes.</w:t>
      </w:r>
    </w:p>
    <w:p>
      <w:r>
        <w:rPr>
          <w:color w:val="555555"/>
          <w:sz w:val="17"/>
        </w:rPr>
        <w:t xml:space="preserve">Zitiervorschlag: § 31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