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TabakerzV — Warnhinweis</w:t>
      </w:r>
    </w:p>
    <w:p>
      <w:r>
        <w:rPr>
          <w:color w:val="555555"/>
          <w:sz w:val="18"/>
        </w:rPr>
        <w:t xml:space="preserve">Tabakerzeugnisverordnung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Pflanzliche Raucherzeugnisse dürfen nur in den Verkehr gebracht werden, wenn die Packungen und Außenverpackungen folgenden gesundheitsbezogenen Warnhinweis tragen: „Das Rauchen dieses Produkts schädigt Ihre Gesundheit. “</w:t>
      </w:r>
    </w:p>
    <w:p>
      <w:r>
        <w:t xml:space="preserve">(2) Für die Gestaltung und Anbringung des Warnhinweises auf Packungen und Außenverpackungen gelten folgende Anforderungen: Er muss</w:t>
      </w:r>
    </w:p>
    <w:p>
      <w:pPr>
        <w:ind w:left="420"/>
      </w:pPr>
      <w:r>
        <w:t xml:space="preserve">1. auf der äußeren Vorder- und der äußeren Rückseite angebracht werden,</w:t>
      </w:r>
    </w:p>
    <w:p>
      <w:pPr>
        <w:ind w:left="420"/>
      </w:pPr>
      <w:r>
        <w:t xml:space="preserve">2. jeweils 30 Prozent dieser Flächen einnehmen und</w:t>
      </w:r>
    </w:p>
    <w:p>
      <w:pPr>
        <w:ind w:left="420"/>
      </w:pPr>
      <w:r>
        <w:t xml:space="preserve">3. den Anforderungen des § 13 Absatz 1 Nummer 2 genügen.</w:t>
      </w:r>
    </w:p>
    <w:p>
      <w:r>
        <w:rPr>
          <w:color w:val="555555"/>
          <w:sz w:val="17"/>
        </w:rPr>
        <w:t xml:space="preserve">Zitiervorschlag: § 30 TabakerzV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