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TabakerzV — Beipackzettel</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und Importeure von elektronischen Zigaretten und Nachfüllbehältern sind zur Erstellung des Beipackzettels nach § 15 Absatz 1 Nummer 1 des Tabakerzeugnisgesetzes verpflichtet. Der Beipackzettel muss die Überschrift „Gebrauchsinformation“ tragen und Folgendes enthalten:</w:t>
      </w:r>
    </w:p>
    <w:p>
      <w:pPr>
        <w:ind w:left="420"/>
      </w:pPr>
      <w:r>
        <w:t xml:space="preserve">1. Gebrauchs- und Aufbewahrungsanleitungen,</w:t>
      </w:r>
    </w:p>
    <w:p>
      <w:pPr>
        <w:ind w:left="420"/>
      </w:pPr>
      <w:r>
        <w:t xml:space="preserve">2. Gegenanzeigen,</w:t>
      </w:r>
    </w:p>
    <w:p>
      <w:pPr>
        <w:ind w:left="420"/>
      </w:pPr>
      <w:r>
        <w:t xml:space="preserve">3. Warnhinweise für diejenigen Verbrauchergruppen, die bei der Verwendung der elektronischen Zigarette oder des Nachfüllbehälters stärker gefährdet sind als andere, einschließlich eines Hinweises, dass das Erzeugnis nicht für Nichtraucher empfohlen wird, und dass die Abgabe an sowie die Verwendung durch Kinder und Jugendliche untersagt sind,</w:t>
      </w:r>
    </w:p>
    <w:p>
      <w:pPr>
        <w:ind w:left="420"/>
      </w:pPr>
      <w:r>
        <w:t xml:space="preserve">4. Angaben zu möglichen nachteiligen Auswirkungen auf die Gesundheit,</w:t>
      </w:r>
    </w:p>
    <w:p>
      <w:pPr>
        <w:ind w:left="420"/>
      </w:pPr>
      <w:r>
        <w:t xml:space="preserve">5. Angaben zur suchterzeugenden Wirkung,</w:t>
      </w:r>
    </w:p>
    <w:p>
      <w:pPr>
        <w:ind w:left="420"/>
      </w:pPr>
      <w:r>
        <w:t xml:space="preserve">6. Angaben zu toxikologischen Daten,</w:t>
      </w:r>
    </w:p>
    <w:p>
      <w:pPr>
        <w:ind w:left="420"/>
      </w:pPr>
      <w:r>
        <w:t xml:space="preserve">7. den Namen, die Anschrift und die elektronischen Kontaktdaten des Herstellers, Importeurs oder einer vom Hersteller oder Importeur zu bestimmenden, in der Europäischen Union ansässigen verantwortlichen juristischen oder natürlichen Person und</w:t>
      </w:r>
    </w:p>
    <w:p>
      <w:pPr>
        <w:ind w:left="420"/>
      </w:pPr>
      <w:r>
        <w:t xml:space="preserve">8. die in Artikel 2 Absatz 2 des Durchführungsbeschlusses (EU) 2016/586 der Kommission vom 14. April 2016 zu den technischen Normen für den Nachfüllmechanismus elektronischer Zigaretten (ABl. L 101 vom 16.4.2016, S. 15) genannten Informationen.</w:t>
      </w:r>
    </w:p>
    <w:p>
      <w:r>
        <w:t xml:space="preserve">(2) Der Beipackzettel muss in deutscher Sprache verfasst, allgemein verständlich und gut lesbar sein.</w:t>
      </w:r>
    </w:p>
    <w:p>
      <w:r>
        <w:rPr>
          <w:color w:val="555555"/>
          <w:sz w:val="17"/>
        </w:rPr>
        <w:t xml:space="preserve">Zitiervorschlag: § 26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