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TabakerzV — Informationspflichten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Hersteller und Importeure von elektronischen Zigaretten und Nachfüllbehältern sind verpflichtet, der zuständigen Behörde jährlich bis zum 30. Juni eines jeden Kalenderjahres in elektronischer Form Folgendes vorzulegen:</w:t>
      </w:r>
    </w:p>
    <w:p>
      <w:pPr>
        <w:ind w:left="420"/>
      </w:pPr>
      <w:r>
        <w:t xml:space="preserve">1. die Verkaufsmengendaten des vorangegangenen Kalenderjahres, beginnend mit dem 1. Januar 2015, aufgeschlüsselt nach Markennamen und Art,</w:t>
      </w:r>
    </w:p>
    <w:p>
      <w:pPr>
        <w:ind w:left="420"/>
      </w:pPr>
      <w:r>
        <w:t xml:space="preserve">2. Informationen über die Präferenzen der betroffenen Verbrauchergruppen, einschließlich Jugendlicher, Nichtraucher und der wichtigsten Kategorien derzeitiger Nutzer,</w:t>
      </w:r>
    </w:p>
    <w:p>
      <w:pPr>
        <w:ind w:left="420"/>
      </w:pPr>
      <w:r>
        <w:t xml:space="preserve">3. Informationen über die Art des Verkaufs und</w:t>
      </w:r>
    </w:p>
    <w:p>
      <w:pPr>
        <w:ind w:left="420"/>
      </w:pPr>
      <w:r>
        <w:t xml:space="preserve">4. Zusammenfassungen aller diesbezüglich durchgeführten Marktforschungsstudien, einschließlich einer englischen Fassung dieser Zusammenfassungen.</w:t>
      </w:r>
    </w:p>
    <w:p>
      <w:r>
        <w:rPr>
          <w:color w:val="555555"/>
          <w:sz w:val="17"/>
        </w:rPr>
        <w:t xml:space="preserve">Zitiervorschlag: § 25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