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TabakerzV — Prüflaboratorien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Prüflaboratorien, die Bestimmungen nach § 1 im Rahmen des § 29 Absatz 1 Satz 2 oder Absatz 2 Satz 2 Nummer 2 oder 3 des Tabakerzeugnisgesetzes durchführen, müssen von den zuständigen Behörden zugelassen sein. Soweit Prüflaboratorien Teil der unmittelbaren oder mittelbaren Bundes- oder Landesverwaltung sind, gelten sie als zugelassen.</w:t>
      </w:r>
    </w:p>
    <w:p>
      <w:r>
        <w:t xml:space="preserve">(2) Die Zulassung ist zu erteilen, wenn das Prüflaboratorium die folgenden Anforderungen erfüllt:</w:t>
      </w:r>
    </w:p>
    <w:p>
      <w:pPr>
        <w:ind w:left="420"/>
      </w:pPr>
      <w:r>
        <w:t xml:space="preserve">1. gültige Akkreditierung nach dem Akkreditierungsstellengesetz; die Akkreditierung eines Prüflaboratoriums durch die nationale Akkreditierungsstelle eines anderen Mitgliedstaates ist anzuerkennen,</w:t>
      </w:r>
    </w:p>
    <w:p>
      <w:pPr>
        <w:ind w:left="420"/>
      </w:pPr>
      <w:r>
        <w:t xml:space="preserve">1a. erfolgreiche Teilnahme an Laborvergleichsuntersuchungen, die mindestens einmal pro Jahr stattfinden muss, und</w:t>
      </w:r>
    </w:p>
    <w:p>
      <w:pPr>
        <w:ind w:left="420"/>
      </w:pPr>
      <w:r>
        <w:t xml:space="preserve">2. Zuverlässigkeit und Unabhängigkeit; ein Prüflaboratorium ist insbesondere dann nicht unabhängig, wenn</w:t>
      </w:r>
    </w:p>
    <w:p>
      <w:pPr>
        <w:ind w:left="780"/>
      </w:pPr>
      <w:r>
        <w:t xml:space="preserve">a) das Prüflaboratorium unter der unmittelbaren oder mittelbaren Kontrolle der Tabakwirtschaft steht oder</w:t>
      </w:r>
    </w:p>
    <w:p>
      <w:pPr>
        <w:ind w:left="780"/>
      </w:pPr>
      <w:r>
        <w:t xml:space="preserve">b) der Verantwortliche des Prüflaboratoriums oder Mitarbeiter, die mit den Bestimmungen nach § 1 befasst sind, in einem Beschäftigungsverhältnis oder in wirtschaftlicher Abhängigkeit zur Tabakwirtschaft stehen oder bezahlte oder unbezahlte beratende Tätigkeiten für die Tabakwirtschaft ausüben.</w:t>
      </w:r>
    </w:p>
    <w:p>
      <w:r>
        <w:rPr>
          <w:color w:val="555555"/>
          <w:sz w:val="17"/>
        </w:rPr>
        <w:t xml:space="preserve">Zitiervorschlag: § 2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