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19c TabakerzV — Deaktivierung von Identifikationscodes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Ausgabestelle ist verpflichtet, in Fällen, in denen auf Grund unanfechtbarer behördlicher Entscheidung</w:t>
      </w:r>
    </w:p>
    <w:p>
      <w:pPr>
        <w:ind w:left="420"/>
      </w:pPr>
      <w:r>
        <w:t xml:space="preserve">1. einem Wirtschaftsteilnehmer oder dem Inhaber einer ersten Verkaufsstelle eine der in Artikel 2 Absatz 2 der Durchführungsverordnung (EU) 2018/574 genannten Tätigkeiten untersagt worden ist oder</w:t>
      </w:r>
    </w:p>
    <w:p>
      <w:pPr>
        <w:ind w:left="420"/>
      </w:pPr>
      <w:r>
        <w:t xml:space="preserve">2. eine Einrichtung geschlossen oder stillgelegt oder eine Maschine außer Betrieb gesetzt worden ist,</w:t>
      </w:r>
    </w:p>
    <w:p>
      <w:r>
        <w:t xml:space="preserve">den Wirtschaftsteilnehmer-Identifikationscode, den Einrichtungs-Identifikationscode oder den Maschinen-Identifikationscode nach Maßgabe des Artikels 15 Absatz 4, des Artikels 17 Absatz 4 und des Artikels 19 Absatz 4 der Durchführungsverordnung (EU) 2018/574 zu deaktivieren.</w:t>
      </w:r>
    </w:p>
    <w:p>
      <w:r>
        <w:rPr>
          <w:color w:val="555555"/>
          <w:sz w:val="17"/>
        </w:rPr>
        <w:t xml:space="preserve">Zitiervorschlag: § 19c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