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19b TabakerzV — Antragsverfahren</w:t>
      </w:r>
    </w:p>
    <w:p>
      <w:r>
        <w:rPr>
          <w:color w:val="555555"/>
          <w:sz w:val="18"/>
        </w:rPr>
        <w:t xml:space="preserve">Tabakerzeugnisverordnung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Anträge auf Generierung und Ausgabe von Identifikationscodes nach den Artikeln 14, 16 und 18 der Durchführungsverordnung (EU) 2018/574 sowie von individuellen Erkennungsmerkmalen nach Artikel 9 Absatz 1 und 4, Artikel 13 in Verbindung mit Artikel 36 der Durchführungsverordnung (EU) 2018/574 können elektronisch oder schriftlich gestellt werden.</w:t>
      </w:r>
    </w:p>
    <w:p>
      <w:r>
        <w:t xml:space="preserve">(2) Dem Antrag sind folgende Angaben beizufügen:</w:t>
      </w:r>
    </w:p>
    <w:p>
      <w:pPr>
        <w:ind w:left="420"/>
      </w:pPr>
      <w:r>
        <w:t xml:space="preserve">1. die in Anhang 2 der Durchführungsverordnung (EU) 2018/574 jeweils genannten Angaben und</w:t>
      </w:r>
    </w:p>
    <w:p>
      <w:pPr>
        <w:ind w:left="420"/>
      </w:pPr>
      <w:r>
        <w:t xml:space="preserve">2. bei Antragstellung durch eine natürliche Person eine Einwilligung nach Artikel 6 der Verordnung (EU) 2016/679 des Europäischen Parlamentes und des Rates vom 27. April 2016 zum Schutz natürlicher Personen bei der Verarbeitung personenbezogener Daten, zum freien Datenverkehr und zur Aufhebung der Richtlinie 95/46/EG (Datenschutz-Grundverordnung) (ABl. L 119 vom 4.5.2016, S. 1), dass die Ausgabestelle als Verantwortliche oder ein in ihrem Auftrag handelnder Auftragsverarbeiter personenbezogene Daten verarbeiten darf.</w:t>
      </w:r>
    </w:p>
    <w:p>
      <w:r>
        <w:t xml:space="preserve">Die Ausgabestelle kann diese Angaben verarbeiten, in ein temporäres Register einstellen und dem Antragsteller in einem Auskunftsportal zugänglich machen.</w:t>
      </w:r>
    </w:p>
    <w:p>
      <w:r>
        <w:t xml:space="preserve">(3) Auf Antrag des Herstellers oder Importeurs ist die Ausgabestelle auch zur physischen Ausgabe des individuellen Erkennungsmerkmals nach Maßgabe des Artikels 9 Absatz 4 der Durchführungsverordnung (EU) 2018/574 verpflichtet; die Absätze 1 und 2 gelten für diese Anträge entsprechend.</w:t>
      </w:r>
    </w:p>
    <w:p>
      <w:r>
        <w:rPr>
          <w:color w:val="555555"/>
          <w:sz w:val="17"/>
        </w:rPr>
        <w:t xml:space="preserve">Zitiervorschlag: § 19b TabakerzV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https://recht.nulegal.eu/gesetze/TabakerzV/19b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