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TabakerzV — Verbote zum Schutz vor Täuschung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dürfen nicht in den Verkehr gebracht werden:</w:t>
      </w:r>
    </w:p>
    <w:p>
      <w:pPr>
        <w:ind w:left="420"/>
      </w:pPr>
      <w:r>
        <w:t xml:space="preserve">1. Zigarren, die als Einlage Tabakfolien mit einem Tabakgehalt von weniger als 75 Prozent in der Trockenmasse enthalten,</w:t>
      </w:r>
    </w:p>
    <w:p>
      <w:pPr>
        <w:ind w:left="420"/>
      </w:pPr>
      <w:r>
        <w:t xml:space="preserve">2. Zigarren, bei denen der Anteil an Tabakfolien 25 Prozent des Gewichts des Erzeugnisses, abzüglich des Gewichts eines Mundstückes, übersteigt; bei Zigarren mit Kunstumblatt vermindert sich diese Höchstmenge um das Gewicht des Kunstumblattes,</w:t>
      </w:r>
    </w:p>
    <w:p>
      <w:pPr>
        <w:ind w:left="420"/>
      </w:pPr>
      <w:r>
        <w:t xml:space="preserve">3. Rauchtabakerzeugnisse, die Tabakfolien mit einem Tabakgehalt von weniger als 75 Prozent in der Trockenmasse enthalten,</w:t>
      </w:r>
    </w:p>
    <w:p>
      <w:pPr>
        <w:ind w:left="420"/>
      </w:pPr>
      <w:r>
        <w:t xml:space="preserve">4. Rauchtabakerzeugnisse, bei denen der Anteil an Tabakfolien 25 Prozent des Gewichtes der Tabakmischung übersteigt,</w:t>
      </w:r>
    </w:p>
    <w:p>
      <w:pPr>
        <w:ind w:left="420"/>
      </w:pPr>
      <w:r>
        <w:t xml:space="preserve">5. Tabakerzeugnisse, die chemisch gebleicht sind,</w:t>
      </w:r>
    </w:p>
    <w:p>
      <w:pPr>
        <w:ind w:left="420"/>
      </w:pPr>
      <w:r>
        <w:t xml:space="preserve">6. gefärbter Tabak für Rauchtabakerzeugnisse, ausgenommen schwarzer Rolltabak, oder</w:t>
      </w:r>
    </w:p>
    <w:p>
      <w:pPr>
        <w:ind w:left="420"/>
      </w:pPr>
      <w:r>
        <w:t xml:space="preserve">7. Zigarren, die ein Kunstumblatt oder ein Umblatt aus Tabakfolie besitzen, sofern dies nicht auf den Packungen durch die deutlich sichtbare und leicht lesbare Angabe „mit Kunstumblatt" kenntlich gemacht ist; wenn der Gewichtsanteil des Tabaks im Umblatt mehr als 50 Prozent beträgt, kann stattdessen die Angabe „mit tabakhaltigem Kunstumblatt" verwendet werden; bei Zigarren, die ein Umblatt aus Tabakfolie besitzen, kann die Kenntlichmachung entfallen, wenn der Gewichtsanteil des Tabaks in der Tabakfolie mindestens 75 Prozent der Trockenmasse beträgt.</w:t>
      </w:r>
    </w:p>
    <w:p>
      <w:r>
        <w:rPr>
          <w:color w:val="555555"/>
          <w:sz w:val="17"/>
        </w:rPr>
        <w:t xml:space="preserve">Zitiervorschlag: § 18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