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TabakerzV — Kennzeichnung rauchloser Tabakerzeugnisse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Rauchlose Tabakerzeugnisse dürfen nur in den Verkehr gebracht werden, wenn die Packungen und Außenverpackungen den folgenden gesundheitsbezogenen Warnhinweis tragen: „Dieses Tabakerzeugnis schädigt Ihre Gesundheit und macht süchtig. “</w:t>
      </w:r>
    </w:p>
    <w:p>
      <w:r>
        <w:t xml:space="preserve">(2) Der Warnhinweis muss auf den zwei größten Flächen der Packung und der Außenverpackung angebracht werden und jeweils 30 Prozent dieser Flächen einnehmen. Der Warnhinweis muss den Anforderungen des § 13 Absatz 1 Nummer 2 genügen und parallel zum Haupttext ausgerichtet werden.</w:t>
      </w:r>
    </w:p>
    <w:p>
      <w:r>
        <w:rPr>
          <w:color w:val="555555"/>
          <w:sz w:val="17"/>
        </w:rPr>
        <w:t xml:space="preserve">Zitiervorschlag: § 17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