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16a TabakerzV — Erhitzte Tabakerzeugnisse</w:t>
      </w:r>
    </w:p>
    <w:p>
      <w:r>
        <w:rPr>
          <w:color w:val="555555"/>
          <w:sz w:val="18"/>
        </w:rPr>
        <w:t xml:space="preserve">Tabakerzeugnisverordnung</w:t>
      </w:r>
    </w:p>
    <w:p>
      <w:r>
        <w:rPr>
          <w:color w:val="555555"/>
          <w:sz w:val="18"/>
        </w:rPr>
        <w:t xml:space="preserve">Stand: 25.07.2023 (konsolidierte Textfassung, kein amtliches Inkrafttretensdatum)</w:t>
      </w:r>
    </w:p>
    <w:p>
      <w:r>
        <w:t xml:space="preserve">Für erhitzte Tabakerzeugnisse, die als Rauchtabakerzeugnisse eingestuft sind,</w:t>
      </w:r>
    </w:p>
    <w:p>
      <w:pPr>
        <w:ind w:left="420"/>
      </w:pPr>
      <w:r>
        <w:t xml:space="preserve">1. gelten die §§ 12 bis 14 entsprechend,</w:t>
      </w:r>
    </w:p>
    <w:p>
      <w:pPr>
        <w:ind w:left="420"/>
      </w:pPr>
      <w:r>
        <w:t xml:space="preserve">2. sind die §§ 15 und 16 nicht anzuwenden.</w:t>
      </w:r>
    </w:p>
    <w:p>
      <w:r>
        <w:rPr>
          <w:color w:val="555555"/>
          <w:sz w:val="17"/>
        </w:rPr>
        <w:t xml:space="preserve">Zitiervorschlag: § 16a TabakerzV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https://recht.nulegal.eu/gesetze/TabakerzV/16a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