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TabakerzV — Kennzeichnung von Zigaretten, Tabak zum Selbstdrehen und Wasserpfeifentabak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Zigaretten, Tabak zum Selbstdrehen und Wasserpfeifentabak dürfen nur in den Verkehr gebracht werden, wenn Packungen und Außenverpackungen folgende gesundheitsbezogene Warnhinweise tragen:</w:t>
      </w:r>
    </w:p>
    <w:p>
      <w:pPr>
        <w:ind w:left="420"/>
      </w:pPr>
      <w:r>
        <w:t xml:space="preserve">1. den allgemeinen Warnhinweis „Rauchen ist tödlich“,</w:t>
      </w:r>
    </w:p>
    <w:p>
      <w:pPr>
        <w:ind w:left="420"/>
      </w:pPr>
      <w:r>
        <w:t xml:space="preserve">2. die Informationsbotschaft „Tabakrauch enthält über 70 Stoffe, die erwiesenermaßen krebserregend sind. “ und</w:t>
      </w:r>
    </w:p>
    <w:p>
      <w:pPr>
        <w:ind w:left="420"/>
      </w:pPr>
      <w:r>
        <w:t xml:space="preserve">3. kombinierte Text-Bild-Warnhinweise.</w:t>
      </w:r>
    </w:p>
    <w:p>
      <w:r>
        <w:rPr>
          <w:color w:val="555555"/>
          <w:sz w:val="17"/>
        </w:rPr>
        <w:t xml:space="preserve">Zitiervorschlag: § 12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