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7b TabakerzG — Verordnungsermächtigungen</w:t>
      </w:r>
    </w:p>
    <w:p>
      <w:r>
        <w:rPr>
          <w:color w:val="555555"/>
          <w:sz w:val="18"/>
        </w:rPr>
        <w:t xml:space="preserve">Tabakerzeugnisgesetz</w:t>
      </w:r>
    </w:p>
    <w:p>
      <w:r>
        <w:rPr>
          <w:color w:val="555555"/>
          <w:sz w:val="18"/>
        </w:rPr>
        <w:t xml:space="preserve">Stand: 10.06.2019 (konsolidierte Textfassung, kein amtliches Inkrafttretensdatum)</w:t>
      </w:r>
    </w:p>
    <w:p>
      <w:r>
        <w:t xml:space="preserve">(1) Das Bundesministerium für Ernährung und Landwirtschaft kann im Einvernehmen mit dem Bundesministerium der Finanzen</w:t>
      </w:r>
    </w:p>
    <w:p>
      <w:pPr>
        <w:ind w:left="420"/>
      </w:pPr>
      <w:r>
        <w:t xml:space="preserve">1. durch Rechtsverordnung mit Zustimmung des Bundesrates bestimmen, dass Private die Aufgaben und Befugnisse der Ausgabestelle oder des unabhängigen Anbieters oder die Aufgaben und Befugnisse sowohl der Ausgabestelle als auch des unabhängigen Anbieters wahrnehmen, oder</w:t>
      </w:r>
    </w:p>
    <w:p>
      <w:pPr>
        <w:ind w:left="420"/>
      </w:pPr>
      <w:r>
        <w:t xml:space="preserve">2. durch Vertrag Private mit der Ausführung der in Nummer 1 genannten Aufgaben und der Ausübung der dort genannten Befugnisse im eigenen Namen beauftragen.</w:t>
      </w:r>
    </w:p>
    <w:p>
      <w:r>
        <w:t xml:space="preserve">(2) In Rechtsverordnungen nach Absatz 1 Nummer 1 können für die Privaten, die mit den Aufgaben und Befugnissen der Ausgabestelle oder des unabhängigen Anbieters betraut sind, insbesondere Regelungen erlassen werden über</w:t>
      </w:r>
    </w:p>
    <w:p>
      <w:pPr>
        <w:ind w:left="420"/>
      </w:pPr>
      <w:r>
        <w:t xml:space="preserve">1. die Aufbau- und Ablauforganisation,</w:t>
      </w:r>
    </w:p>
    <w:p>
      <w:pPr>
        <w:ind w:left="420"/>
      </w:pPr>
      <w:r>
        <w:t xml:space="preserve">2. die Unterstützung durch um Hilfestellung ersuchte Behörden des Bundes oder der Länder oder durch beauftragte private Dritte,</w:t>
      </w:r>
    </w:p>
    <w:p>
      <w:pPr>
        <w:ind w:left="420"/>
      </w:pPr>
      <w:r>
        <w:t xml:space="preserve">3. die Zuverlässigkeit und Unabhängigkeit, auch hinsichtlich der nach § 7a Absatz 2 Nummer 3 beauftragten privaten Dritten,</w:t>
      </w:r>
    </w:p>
    <w:p>
      <w:pPr>
        <w:ind w:left="420"/>
      </w:pPr>
      <w:r>
        <w:t xml:space="preserve">4. die Haushalts- und Wirtschaftsführung und die Rechnungslegung,</w:t>
      </w:r>
    </w:p>
    <w:p>
      <w:pPr>
        <w:ind w:left="420"/>
      </w:pPr>
      <w:r>
        <w:t xml:space="preserve">5. den Abschluss von privatrechtlichen Verträgen mit Wirtschaftsteilnehmern sowie mit Inhabern erster Verkaufsstellen, den Gegenstand dieser Verträge, die Rechte und Pflichten der Vertragsparteien, insbesondere Regelungen über Haftungsausschlüsse und über die Höhe und Erhebung von Entgelten, und die Beendigung dieser Verträge,</w:t>
      </w:r>
    </w:p>
    <w:p>
      <w:pPr>
        <w:ind w:left="420"/>
      </w:pPr>
      <w:r>
        <w:t xml:space="preserve">6. die Zuständigkeit der Ausgabestelle für in das Inland verbrachte Tabakerzeugnisse gemäß Artikel 4 Absatz 1 Satz 2 der Durchführungsverordnung (EU) 2018/574 sowie</w:t>
      </w:r>
    </w:p>
    <w:p>
      <w:pPr>
        <w:ind w:left="420"/>
      </w:pPr>
      <w:r>
        <w:t xml:space="preserve">7. die Deaktivierung von Identifikationscodes nach Artikel 15 Absatz 4, Artikel 17 Absatz 4 und Artikel 19 Absatz 4 der Durchführungsverordnung (EU) 2018/574.</w:t>
      </w:r>
    </w:p>
    <w:p>
      <w:r>
        <w:rPr>
          <w:color w:val="555555"/>
          <w:sz w:val="17"/>
        </w:rPr>
        <w:t xml:space="preserve">Zitiervorschlag: § 7b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