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7a TabakerzG — Ausgabestelle; unabhängiger Anbieter</w:t>
      </w:r>
    </w:p>
    <w:p>
      <w:r>
        <w:rPr>
          <w:color w:val="555555"/>
          <w:sz w:val="18"/>
        </w:rPr>
        <w:t xml:space="preserve">Tabakerzeugnisgesetz</w:t>
      </w:r>
    </w:p>
    <w:p>
      <w:r>
        <w:rPr>
          <w:color w:val="555555"/>
          <w:sz w:val="18"/>
        </w:rPr>
        <w:t xml:space="preserve">Stand: 10.06.2019 (konsolidierte Textfassung, kein amtliches Inkrafttretensdatum)</w:t>
      </w:r>
    </w:p>
    <w:p>
      <w:r>
        <w:t xml:space="preserve">(1) Die Ausgabestelle nach Artikel 3 Absatz 1 der Durchführungsverordnung (EU) 2018/574 nimmt ihre Tätigkeit der Generierung und Ausgabe der individuellen Erkennungsmerkmale und der Identifikationscodes nach den Artikeln 8, 9, 11 und 13 der Durchführungsverordnung (EU) 2018/574 als Aufgabe des Bundes wahr.</w:t>
      </w:r>
    </w:p>
    <w:p>
      <w:r>
        <w:t xml:space="preserve">(2) Die Ausgabestelle</w:t>
      </w:r>
    </w:p>
    <w:p>
      <w:pPr>
        <w:ind w:left="420"/>
      </w:pPr>
      <w:r>
        <w:t xml:space="preserve">1. erbringt die Leistungen nach Absatz 1 gegenüber den Wirtschaftsteilnehmern und Inhabern erster Verkaufsstellen im eigenen Namen und in privatrechtlichen Handlungsformen, wobei für Rechtsstreitigkeiten zwischen der Ausgabestelle und den Wirtschaftsteilnehmern sowie zwischen der Ausgabestelle und den Inhabern erster Verkaufsstellen der ordentliche Rechtsweg eröffnet ist;</w:t>
      </w:r>
    </w:p>
    <w:p>
      <w:pPr>
        <w:ind w:left="420"/>
      </w:pPr>
      <w:r>
        <w:t xml:space="preserve">2. kann nach Maßgabe des Artikels 3 Absatz 9 der Durchführungsverordnung (EU) 2018/574 Entgelte erheben;</w:t>
      </w:r>
    </w:p>
    <w:p>
      <w:pPr>
        <w:ind w:left="420"/>
      </w:pPr>
      <w:r>
        <w:t xml:space="preserve">3. kann zur Unterstützung ihrer Tätigkeit Behörden des Bundes oder der Länder um Hilfeleistung ersuchen oder zu diesem Zweck private Dritte beauftragen; insbesondere kann die Ausgabestelle zur Identifizierung und Authentifizierung von Wirtschaftsteilnehmern oder Inhabern erster Verkaufsstellen sowie zur Feststellung, ob diese ihren Betrieb nach § 14 Absatz 1 Satz 2 Nummer 3 der Gewerbeordnung aufgegeben haben, die ihr vorliegenden Daten mit den außenwirtschafts-, gewerbe- oder steuerrechtlichen Daten abgleichen, die bei den zuständigen Behörden vorliegen; die Regelungen der Abgabenordnung bleiben hiervon unberührt;</w:t>
      </w:r>
    </w:p>
    <w:p>
      <w:pPr>
        <w:ind w:left="420"/>
      </w:pPr>
      <w:r>
        <w:t xml:space="preserve">4. stellt für den Fall der Einstellung der Tätigkeit nach Absatz 1 sicher, dass eine Kontinuität der Aufgabenwahrnehmung bis zur Betriebsaufnahme durch eine Nachfolgerin gewährleistet ist; die Sicherstellung erfolgt insbesondere durch die Entwicklung eines Ausstiegsplanes nach Artikel 3 Absatz 8 Buchstabe b der Durchführungsverordnung (EU) 2018/574.</w:t>
      </w:r>
    </w:p>
    <w:p>
      <w:r>
        <w:t xml:space="preserve">(3) Die Ausgabestelle ist unabhängig und erfüllt für die Dauer ihrer Tätigkeit die Anforderungen des Artikels 35 der Durchführungsverordnung (EU) 2018/574. Sie legt dem Bundesministerium für Ernährung und Landwirtschaft jährlich zum 1. April eine Erklärung darüber vor, dass die Kriterien nach Artikel 35 Absatz 2 der Durchführungsverordnung (EU) 2018/574 erfüllt sind, und belegt dies durch entsprechende Unterlagen.</w:t>
      </w:r>
    </w:p>
    <w:p>
      <w:r>
        <w:t xml:space="preserve">(4) Mindestens eines der nach Artikel 3 Absatz 1 des Durchführungsbeschlusses (EU) 2018/576 vom Sicherheitsmerkmal umfassten Authentifizierungselemente muss von einem von der Tabakwirtschaft unabhängigen Anbieter bereitgestellt werden, der die Anforderungen des Artikels 8 des Durchführungsbeschlusses (EU) 2018/576 erfüllt. Die Tätigkeit des unabhängigen Anbieters wird als Aufgabe des Bundes wahrgenommen. Sie kann von der Ausgabestelle zusammen mit der Tätigkeit nach Absatz 1 wahrgenommen werden; Absatz 3 gilt in diesem Fall entsprechend.</w:t>
      </w:r>
    </w:p>
    <w:p>
      <w:r>
        <w:rPr>
          <w:color w:val="555555"/>
          <w:sz w:val="17"/>
        </w:rPr>
        <w:t xml:space="preserve">Zitiervorschlag: § 7a TabakerzG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https://recht.nulegal.eu/gesetze/TabakerzG/7a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