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TabakerzG — Inhaltsstoffe</w:t>
      </w:r>
    </w:p>
    <w:p>
      <w:r>
        <w:rPr>
          <w:color w:val="555555"/>
          <w:sz w:val="18"/>
        </w:rPr>
        <w:t xml:space="preserve">Tabakerzeugnisgesetz</w:t>
      </w:r>
    </w:p>
    <w:p>
      <w:r>
        <w:rPr>
          <w:color w:val="555555"/>
          <w:sz w:val="18"/>
        </w:rPr>
        <w:t xml:space="preserve">Stand: 22.07.2023 (konsolidierte Textfassung, kein amtliches Inkrafttretensdatum)</w:t>
      </w:r>
    </w:p>
    <w:p>
      <w:r>
        <w:t xml:space="preserve">(1) Es ist verboten, in den Verkehr zu bringen:</w:t>
      </w:r>
    </w:p>
    <w:p>
      <w:pPr>
        <w:ind w:left="420"/>
      </w:pPr>
      <w:r>
        <w:t xml:space="preserve">1. Zigaretten, Tabak zum Selbstdrehen und erhitzte Tabakerzeugnisse, die</w:t>
      </w:r>
    </w:p>
    <w:p>
      <w:pPr>
        <w:ind w:left="780"/>
      </w:pPr>
      <w:r>
        <w:t xml:space="preserve">a) ein charakteristisches Aroma haben oder</w:t>
      </w:r>
    </w:p>
    <w:p>
      <w:pPr>
        <w:ind w:left="780"/>
      </w:pPr>
      <w:r>
        <w:t xml:space="preserve">b) Aromastoffe in ihren Bestandteilen enthalten oder sonstige technische Merkmale aufweisen, mit denen sich der Geruch oder Geschmack oder die Rauchintensität verändern lassen;</w:t>
      </w:r>
    </w:p>
    <w:p>
      <w:pPr>
        <w:ind w:left="420"/>
      </w:pPr>
      <w:r>
        <w:t xml:space="preserve">2. Filter, Papier und Kapseln für Zigaretten, Tabak zum Selbstdrehen und erhitzte Tabakerzeugnisse, die Tabak oder Nikotin enthalten;</w:t>
      </w:r>
    </w:p>
    <w:p>
      <w:pPr>
        <w:ind w:left="420"/>
      </w:pPr>
      <w:r>
        <w:t xml:space="preserve">3. Tabakerzeugnisse, die Zusatzstoffe in Mengen enthalten, die die toxische oder suchterzeugende Wirkung oder die krebserregenden, erbgutverändernden oder fortpflanzungsschädigenden Eigenschaften (CMR-Eigenschaften) beim Konsum messbar erhöhen;</w:t>
      </w:r>
    </w:p>
    <w:p>
      <w:pPr>
        <w:ind w:left="420"/>
      </w:pPr>
      <w:r>
        <w:t xml:space="preserve">4. Tabakerzeugnisse, die den Anforderungen einer nach Absatz 2 Satz 1 Nummer 3 oder 4 erlassenen Rechtsverordnung nicht genügen.</w:t>
      </w:r>
    </w:p>
    <w:p>
      <w:r>
        <w:t xml:space="preserve">(2) Das Bundesministerium für Ernährung und Landwirtschaft wird ermächtigt, im Einvernehmen mit dem Bundesministerium für Wirtschaft und Klimaschutz durch Rechtsverordnung mit Zustimmung des Bundesrates, soweit dies zum Schutz der Verbraucherinnen und Verbraucher vor Gesundheitsschäden erforderlich ist, oder zur Durchführung von Rechtsakten der Europäischen Union,</w:t>
      </w:r>
    </w:p>
    <w:p>
      <w:pPr>
        <w:ind w:left="420"/>
      </w:pPr>
      <w:r>
        <w:t xml:space="preserve">1. die Zusatzstoffe oder Kombinationen von Zusatzstoffen zu bestimmen, die als charakteristisches Aroma nach Absatz 1 Nummer 1 Buchstabe a gelten,</w:t>
      </w:r>
    </w:p>
    <w:p>
      <w:pPr>
        <w:ind w:left="420"/>
      </w:pPr>
      <w:r>
        <w:t xml:space="preserve">2. Zigaretten, Tabak zum Selbstdrehen und erhitzte Tabakerzeugnisse zu bestimmen, die Zusatzstoffe oder Kombinationen von Zusatzstoffen enthalten, die ein charakteristisches Aroma nach Absatz 1 Nummer 1 Buchstabe a erzeugen,</w:t>
      </w:r>
    </w:p>
    <w:p>
      <w:pPr>
        <w:ind w:left="420"/>
      </w:pPr>
      <w:r>
        <w:t xml:space="preserve">3. das Inverkehrbringen von Tabakerzeugnissen mit bestimmten Inhaltsstoffen oder mit bestimmten Mengen an Inhaltsstoffen zu verbieten oder zu beschränken und diese Inhaltsstoffe festzulegen oder die Mengen festzusetzen,</w:t>
      </w:r>
    </w:p>
    <w:p>
      <w:pPr>
        <w:ind w:left="420"/>
      </w:pPr>
      <w:r>
        <w:t xml:space="preserve">4. Höchstmengen für den Gehalt an bestimmten Zusatzstoffen in Tabakerzeugnissen festzusetzen und</w:t>
      </w:r>
    </w:p>
    <w:p>
      <w:pPr>
        <w:ind w:left="420"/>
      </w:pPr>
      <w:r>
        <w:t xml:space="preserve">5. das bei der Bestimmung nach den Nummern 1 und 2 anzuwendende Verfahren zu regeln und dabei insbesondere vorzuschreiben, dass</w:t>
      </w:r>
    </w:p>
    <w:p>
      <w:pPr>
        <w:ind w:left="780"/>
      </w:pPr>
      <w:r>
        <w:t xml:space="preserve">a) beim Hersteller oder Importeur, auch unter Fristsetzung, Folgendes angefordert werden kann:</w:t>
      </w:r>
    </w:p>
    <w:p>
      <w:pPr>
        <w:ind w:left="1140"/>
      </w:pPr>
      <w:r>
        <w:t xml:space="preserve">aa) schriftliche Stellungnahmen und sonstige Angaben, insbesondere über die Vermarktung, das Herstellen oder die Zusammensetzung von Tabakerzeugnissen, über die hierbei verwendeten Zusatzstoffe, über deren Funktion und die Gründe für deren Verwendung sowie über die Wirkungen dieser Zusatzstoffe insbesondere hinsichtlich der Erzeugung eines charakteristischen Aromas,</w:t>
      </w:r>
    </w:p>
    <w:p>
      <w:pPr>
        <w:ind w:left="1140"/>
      </w:pPr>
      <w:r>
        <w:t xml:space="preserve">bb) Angaben über getroffene Maßnahmen, insbesondere zur Rücknahme der Erzeugnisse vom Markt;</w:t>
      </w:r>
    </w:p>
    <w:p>
      <w:pPr>
        <w:ind w:left="780"/>
      </w:pPr>
      <w:r>
        <w:t xml:space="preserve">b) die Kommission, andere Mitgliedstaaten oder Dritte beteiligt oder informiert werden sowie die beteiligten Dritten zur Stellungnahme und zur Mitteilung bestimmter Angaben aufgefordert werden können.</w:t>
      </w:r>
    </w:p>
    <w:p>
      <w:r>
        <w:t xml:space="preserve">Zuständig für die Durchführung von Regelungen nach Satz 1 Nummer 5 ist das Bundesamt für Verbraucherschutz und Lebensmittelsicherheit.</w:t>
      </w:r>
    </w:p>
    <w:p>
      <w:r>
        <w:rPr>
          <w:color w:val="555555"/>
          <w:sz w:val="17"/>
        </w:rPr>
        <w:t xml:space="preserve">Zitiervorschlag: § 5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