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 TabakerzG — Übergangsregelungen</w:t>
      </w:r>
    </w:p>
    <w:p>
      <w:r>
        <w:rPr>
          <w:color w:val="555555"/>
          <w:sz w:val="18"/>
        </w:rPr>
        <w:t xml:space="preserve">Tabakerzeugnisgesetz</w:t>
      </w:r>
    </w:p>
    <w:p>
      <w:r>
        <w:rPr>
          <w:color w:val="555555"/>
          <w:sz w:val="18"/>
        </w:rPr>
        <w:t xml:space="preserve">Stand: 22.07.2023 (konsolidierte Textfassung, kein amtliches Inkrafttretensdatum)</w:t>
      </w:r>
    </w:p>
    <w:p>
      <w:r>
        <w:t xml:space="preserve">(1) Tabakerzeugnisse und pflanzliche Raucherzeugnisse, die</w:t>
      </w:r>
    </w:p>
    <w:p>
      <w:pPr>
        <w:ind w:left="420"/>
      </w:pPr>
      <w:r>
        <w:t xml:space="preserve">1. vor dem 20. Mai 2016</w:t>
      </w:r>
    </w:p>
    <w:p>
      <w:pPr>
        <w:ind w:left="780"/>
      </w:pPr>
      <w:r>
        <w:t xml:space="preserve">a) hergestellt oder</w:t>
      </w:r>
    </w:p>
    <w:p>
      <w:pPr>
        <w:ind w:left="780"/>
      </w:pPr>
      <w:r>
        <w:t xml:space="preserve">b) in den freien Verkehr gebracht und gekennzeichnet wurden und</w:t>
      </w:r>
    </w:p>
    <w:p>
      <w:pPr>
        <w:ind w:left="420"/>
      </w:pPr>
      <w:r>
        <w:t xml:space="preserve">2. den bis dahin geltenden Vorschriften entsprechen,</w:t>
      </w:r>
    </w:p>
    <w:p>
      <w:r>
        <w:t xml:space="preserve">dürfen noch bis zum 20. Mai 2017 in den Verkehr gebracht werden oder im Verkehr verbleiben.</w:t>
      </w:r>
    </w:p>
    <w:p>
      <w:r>
        <w:t xml:space="preserve">(2) Elektronische Zigaretten oder Nachfüllbehälter, die</w:t>
      </w:r>
    </w:p>
    <w:p>
      <w:pPr>
        <w:ind w:left="420"/>
      </w:pPr>
      <w:r>
        <w:t xml:space="preserve">1. vor dem 20. November 2016</w:t>
      </w:r>
    </w:p>
    <w:p>
      <w:pPr>
        <w:ind w:left="780"/>
      </w:pPr>
      <w:r>
        <w:t xml:space="preserve">a) hergestellt oder</w:t>
      </w:r>
    </w:p>
    <w:p>
      <w:pPr>
        <w:ind w:left="780"/>
      </w:pPr>
      <w:r>
        <w:t xml:space="preserve">b) in den freien Verkehr gebracht und gekennzeichnet wurden und</w:t>
      </w:r>
    </w:p>
    <w:p>
      <w:pPr>
        <w:ind w:left="420"/>
      </w:pPr>
      <w:r>
        <w:t xml:space="preserve">2. den bis dahin geltenden Vorschriften entsprechen,</w:t>
      </w:r>
    </w:p>
    <w:p>
      <w:r>
        <w:t xml:space="preserve">dürfen noch bis zum 20. Mai 2017 in den Verkehr gebracht werden oder im Verkehr verbleiben.</w:t>
      </w:r>
    </w:p>
    <w:p>
      <w:r>
        <w:t xml:space="preserve">(3) Die §§ 7 bis 7b sind für Zigaretten und für Tabak zum Selbstdrehen ab dem 20. Mai 2019 und für die übrigen Tabakerzeugnisse ab dem 20. Mai 2024 anzuwenden.</w:t>
      </w:r>
    </w:p>
    <w:p>
      <w:r>
        <w:t xml:space="preserve">(4) Zigaretten und Tabak zum Selbstdrehen, die</w:t>
      </w:r>
    </w:p>
    <w:p>
      <w:pPr>
        <w:ind w:left="420"/>
      </w:pPr>
      <w:r>
        <w:t xml:space="preserve">1. vor dem 20. Mai 2019</w:t>
      </w:r>
    </w:p>
    <w:p>
      <w:pPr>
        <w:ind w:left="780"/>
      </w:pPr>
      <w:r>
        <w:t xml:space="preserve">a) hergestellt oder importiert wurden oder</w:t>
      </w:r>
    </w:p>
    <w:p>
      <w:pPr>
        <w:ind w:left="780"/>
      </w:pPr>
      <w:r>
        <w:t xml:space="preserve">b) in den freien Verkehr gebracht wurden und</w:t>
      </w:r>
    </w:p>
    <w:p>
      <w:pPr>
        <w:ind w:left="420"/>
      </w:pPr>
      <w:r>
        <w:t xml:space="preserve">2. den bis dahin geltenden Vorschriften entsprechen,</w:t>
      </w:r>
    </w:p>
    <w:p>
      <w:r>
        <w:t xml:space="preserve">dürfen noch bis zum 20. Mai 2020 in den Verkehr gebracht werden oder im Verkehr verbleiben.</w:t>
      </w:r>
    </w:p>
    <w:p>
      <w:r>
        <w:t xml:space="preserve">(5) Andere Tabakerzeugnisse als Zigaretten und Tabak zum Selbstdrehen, die</w:t>
      </w:r>
    </w:p>
    <w:p>
      <w:pPr>
        <w:ind w:left="420"/>
      </w:pPr>
      <w:r>
        <w:t xml:space="preserve">1. vor dem 20. Mai 2024</w:t>
      </w:r>
    </w:p>
    <w:p>
      <w:pPr>
        <w:ind w:left="780"/>
      </w:pPr>
      <w:r>
        <w:t xml:space="preserve">a) hergestellt oder importiert wurden oder</w:t>
      </w:r>
    </w:p>
    <w:p>
      <w:pPr>
        <w:ind w:left="780"/>
      </w:pPr>
      <w:r>
        <w:t xml:space="preserve">b) in den freien Verkehr gebracht wurden und</w:t>
      </w:r>
    </w:p>
    <w:p>
      <w:pPr>
        <w:ind w:left="420"/>
      </w:pPr>
      <w:r>
        <w:t xml:space="preserve">2. den bis dahin geltenden Vorschriften entsprechen,</w:t>
      </w:r>
    </w:p>
    <w:p>
      <w:r>
        <w:t xml:space="preserve">dürfen noch bis zum 20. Mai 2026 in den Verkehr gebracht werden oder im Verkehr verbleiben.</w:t>
      </w:r>
    </w:p>
    <w:p>
      <w:r>
        <w:t xml:space="preserve">(6) § 5 Absatz 1 Nummer 1 Buchstabe a ist für Zigaretten und Tabake zum Selbstdrehen, deren unionsweite Verkaufsmengen 3 Prozent oder mehr einer bestimmten Erzeugniskategorie ausmachen, ab dem 20. Mai 2020 anzuwenden.</w:t>
      </w:r>
    </w:p>
    <w:p>
      <w:r>
        <w:t xml:space="preserve">(7) Bis zum Erlass einer Rechtsverordnung nach § 6 Absatz 2 Nummer 2 gilt § 25 Absatz 2 des Tabaksteuergesetzes vom 15. Juli 2009 (BGBl. I S. 1870), das zuletzt durch Artikel 12 des Gesetzes vom 3. Dezember 2015 (BGBl. I S. 2178) geändert worden ist, fort.</w:t>
      </w:r>
    </w:p>
    <w:p>
      <w:r>
        <w:t xml:space="preserve">(8) § 20a ist auf Außenwerbung für erhitzte Tabakerzeugnisse ab dem 1. Januar 2023 und auf Außenwerbung für elektronische Zigaretten oder Nachfüllbehälter ab dem 1. Januar 2024 anzuwenden. Im Übrigen ist § 20a ab dem 1. Januar 2022 anzuwenden.</w:t>
      </w:r>
    </w:p>
    <w:p>
      <w:r>
        <w:t xml:space="preserve">(9) Nicht nikotinhaltige elektronische Zigaretten oder nicht nikotinhaltige Nachfüllbehälter, die</w:t>
      </w:r>
    </w:p>
    <w:p>
      <w:pPr>
        <w:ind w:left="420"/>
      </w:pPr>
      <w:r>
        <w:t xml:space="preserve">1. vor dem 1. Januar 2021</w:t>
      </w:r>
    </w:p>
    <w:p>
      <w:pPr>
        <w:ind w:left="780"/>
      </w:pPr>
      <w:r>
        <w:t xml:space="preserve">a) hergestellt oder</w:t>
      </w:r>
    </w:p>
    <w:p>
      <w:pPr>
        <w:ind w:left="780"/>
      </w:pPr>
      <w:r>
        <w:t xml:space="preserve">b) in den freien Verkehr gebracht und gekennzeichnet wurden und</w:t>
      </w:r>
    </w:p>
    <w:p>
      <w:pPr>
        <w:ind w:left="420"/>
      </w:pPr>
      <w:r>
        <w:t xml:space="preserve">2. den bis zum 31. Dezember 2020 geltenden Vorschriften entsprechen,</w:t>
      </w:r>
    </w:p>
    <w:p>
      <w:r>
        <w:t xml:space="preserve">dürfen noch bis zum 31. März 2021 in Verkehr gebracht werden oder im Verkehr bleiben.</w:t>
      </w:r>
    </w:p>
    <w:p>
      <w:r>
        <w:t xml:space="preserve">(10) § 1 Absatz 1 Nummer 1 Buchstabe a und § 5 Absatz 1 Nummer 1 und 2 sind ab dem 23. Oktober 2023 anzuwenden. Bis zum Ablauf des 22. Oktober 2023 ist § 5 Absatz 1 Nummer 1 und 2 in der am 21. Juli 2023 geltenden Fassung weiter anzuwenden.</w:t>
      </w:r>
    </w:p>
    <w:p>
      <w:r>
        <w:rPr>
          <w:color w:val="555555"/>
          <w:sz w:val="17"/>
        </w:rPr>
        <w:t xml:space="preserve">Zitiervorschlag: § 47 TabakerzG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https://recht.nulegal.eu/gesetze/TabakerzG/47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