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TabakerzG — Rechtsverordnungen zur Angleichung an Unionsrecht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Rechtsverordnungen nach diesem Gesetz können auch zum Zweck der Angleichung der Rechts- und Verwaltungsvorschriften der Mitgliedstaaten der Europäischen Union erlassen werden, soweit dies zur Durchführung von Rechtsakten der Europäischen Union, die Sachbereiche dieses Gesetzes betreffen, erforderlich ist.</w:t>
      </w:r>
    </w:p>
    <w:p>
      <w:r>
        <w:t xml:space="preserve">(2) Das Bundesministerium für Ernährung und Landwirtschaft kann ferner Rechtsverordnungen nach diesem Gesetz, die ausschließlich der Umsetzung verbindlicher technischer Vorschriften aus Rechtsakten der Europäischen Union dienen, ohne Zustimmung des Bundesrates erlassen.</w:t>
      </w:r>
    </w:p>
    <w:p>
      <w:r>
        <w:rPr>
          <w:color w:val="555555"/>
          <w:sz w:val="17"/>
        </w:rPr>
        <w:t xml:space="preserve">Zitiervorschlag: § 44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