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TabakerzG — Rechtsverordnungen in Dringlichkeitsfällen</w:t>
      </w:r>
    </w:p>
    <w:p>
      <w:r>
        <w:rPr>
          <w:color w:val="555555"/>
          <w:sz w:val="18"/>
        </w:rPr>
        <w:t xml:space="preserve">Tabakerzeugnisgesetz</w:t>
      </w:r>
    </w:p>
    <w:p>
      <w:r>
        <w:rPr>
          <w:color w:val="555555"/>
          <w:sz w:val="18"/>
        </w:rPr>
        <w:t xml:space="preserve">Stand: 01.01.2023 (konsolidierte Textfassung, kein amtliches Inkrafttretensdatum)</w:t>
      </w:r>
    </w:p>
    <w:p>
      <w:r>
        <w:t xml:space="preserve">(1) Rechtsverordnungen nach diesem Gesetz können bei Gefahr im Verzug oder, wenn ihr unverzügliches Inkrafttreten zur Durchführung von Rechtsakten der Europäischen Union erforderlich ist, ohne Zustimmung des Bundesrates erlassen werden.</w:t>
      </w:r>
    </w:p>
    <w:p>
      <w:r>
        <w:t xml:space="preserve">(2) Das Bundesministerium für Ernährung und Landwirtschaft kann ferner ohne Zustimmung des Bundesrates Rechtsverordnungen nach § 8 Absatz 2 und § 9 ändern, falls unvorhergesehene gesundheitliche Bedenken eine sofortige Änderung dieser Rechtsverordnung erfordern.</w:t>
      </w:r>
    </w:p>
    <w:p>
      <w:r>
        <w:t xml:space="preserve">(3) Rechtsverordnungen nach den Absätzen 1 und 2 bedürfen nicht des Einvernehmens mit den jeweils zu beteiligenden Bundesministerien. Die Rechtsverordnungen treten spätestens sechs Monate nach ihrem Inkrafttreten außer Kraft. Ihre Geltungsdauer kann nur mit Zustimmung des Bundesrates verlängert werden.</w:t>
      </w:r>
    </w:p>
    <w:p>
      <w:r>
        <w:t xml:space="preserve">(4) (weggefallen)</w:t>
      </w:r>
    </w:p>
    <w:p>
      <w:r>
        <w:rPr>
          <w:color w:val="555555"/>
          <w:sz w:val="17"/>
        </w:rPr>
        <w:t xml:space="preserve">Zitiervorschlag: § 43 TabakerzG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https://recht.nulegal.eu/gesetze/TabakerzG/43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