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TabakerzG — Vorübergehende Verbringungsverbote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zuständigen Behörden dürfen die Einfuhr oder das sonstige Verbringen von Erzeugnissen im Sinne dieses Gesetzes in das Inland im Einzelfall vorübergehend verbieten oder beschränken, wenn</w:t>
      </w:r>
    </w:p>
    <w:p>
      <w:pPr>
        <w:ind w:left="420"/>
      </w:pPr>
      <w:r>
        <w:t xml:space="preserve">1. Deutschland von der Kommission hierzu ermächtigt worden ist und das Bundesministerium für Ernährung und Landwirtschaft dies im Bundesanzeiger bekannt gemacht hat oder</w:t>
      </w:r>
    </w:p>
    <w:p>
      <w:pPr>
        <w:ind w:left="420"/>
      </w:pPr>
      <w:r>
        <w:t xml:space="preserve">2. Tatsachen vorliegen, die darauf schließen lassen, dass die Erzeugnisse geeignet sind, die menschliche Gesundheit zu gefährden.</w:t>
      </w:r>
    </w:p>
    <w:p>
      <w:r>
        <w:rPr>
          <w:color w:val="555555"/>
          <w:sz w:val="17"/>
        </w:rPr>
        <w:t xml:space="preserve">Zitiervorschlag: § 41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