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TabakerzG — Einziehung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34 oder eine Ordnungswidrigkeit nach § 35 Absatz 1, 2 oder 3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36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