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TabakerzG — Bußgeldvorschriften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Ordnungswidrig handelt, wer eine in § 34 bezeichnete Handlung fahrlässig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einer Rechtsverordnung nach</w:t>
      </w:r>
    </w:p>
    <w:p>
      <w:pPr>
        <w:ind w:left="780"/>
      </w:pPr>
      <w:r>
        <w:t xml:space="preserve">a) § 5 Absatz 2 Satz 1 Nummer 5, § 6 Absatz 2 Nummer 2, § 10 Absatz 2 Nummer 1, § 15 Absatz 2 Nummer 4, § 23 Absatz 1 Nummer 1 Buchstabe b, c oder e oder § 26 Absatz 1 Nummer 6,</w:t>
      </w:r>
    </w:p>
    <w:p>
      <w:pPr>
        <w:ind w:left="780"/>
      </w:pPr>
      <w:r>
        <w:t xml:space="preserve">b) § 7 Absatz 2 Satz 2 Nummer 1, 2 oder 3,</w:t>
      </w:r>
    </w:p>
    <w:p>
      <w:pPr>
        <w:ind w:left="780"/>
      </w:pPr>
      <w:r>
        <w:t xml:space="preserve">c) § 7 Absatz 2 Satz 2 Nummer 4 oder § 10 Absatz 2 Nummer 2</w:t>
      </w:r>
    </w:p>
    <w:p>
      <w:pPr>
        <w:ind w:left="420"/>
      </w:pPr>
      <w:r>
        <w:t xml:space="preserve">oder einer vollziehbaren Anordnung aufgrund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2. entgegen</w:t>
      </w:r>
    </w:p>
    <w:p>
      <w:pPr>
        <w:ind w:left="780"/>
      </w:pPr>
      <w:r>
        <w:t xml:space="preserve">a) § 6 Absatz 1 in Verbindung mit einer Rechtsverordnung nach § 6 Absatz 2 Nummer 1 oder</w:t>
      </w:r>
    </w:p>
    <w:p>
      <w:pPr>
        <w:ind w:left="780"/>
      </w:pPr>
      <w:r>
        <w:t xml:space="preserve">b) § 7 Absatz 1 in Verbindung mit einer Rechtsverordnung nach § 7 Absatz 2 Satz 1,</w:t>
      </w:r>
    </w:p>
    <w:p>
      <w:pPr>
        <w:ind w:left="420"/>
      </w:pPr>
      <w:r>
        <w:t xml:space="preserve">ein Tabakerzeugnis in den Verkehr bringt,</w:t>
      </w:r>
    </w:p>
    <w:p>
      <w:pPr>
        <w:ind w:left="420"/>
      </w:pPr>
      <w:r>
        <w:t xml:space="preserve">3. entgegen § 10 Absatz 1 Satz 1 in Verbindung mit § 10 Absatz 1 Satz 2 die Anwendung einer Bestrahlung nicht kenntlich macht,</w:t>
      </w:r>
    </w:p>
    <w:p>
      <w:pPr>
        <w:ind w:left="420"/>
      </w:pPr>
      <w:r>
        <w:t xml:space="preserve">4. entgegen § 15 Absatz 1 in Verbindung mit einer Rechtsverordnung nach § 15 Absatz 2 Nummer 1, 2 oder 3 eine elektronische Zigarette oder einen Nachfüllbehälter in den Verkehr bringt,</w:t>
      </w:r>
    </w:p>
    <w:p>
      <w:pPr>
        <w:ind w:left="420"/>
      </w:pPr>
      <w:r>
        <w:t xml:space="preserve">5. entgegen § 16 Absatz 3 Satz 1, auch in Verbindung mit § 16 Absatz 4 Satz 1, eine dort genannte Behörde nicht, nicht richtig, nicht vollständig oder nicht rechtzeitig unterrichtet,</w:t>
      </w:r>
    </w:p>
    <w:p>
      <w:pPr>
        <w:ind w:left="420"/>
      </w:pPr>
      <w:r>
        <w:t xml:space="preserve">6. entgegen § 17 Absatz 1 in Verbindung mit einer Rechtsverordnung nach § 17 Absatz 2 ein pflanzliches Raucherzeugnis in den Verkehr bringt,</w:t>
      </w:r>
    </w:p>
    <w:p>
      <w:pPr>
        <w:ind w:left="420"/>
      </w:pPr>
      <w:r>
        <w:t xml:space="preserve">7. entgegen § 19 Absatz 1 oder 2 Satz 1, auch in Verbindung mit Absatz 3, für ein Tabakerzeugnis, eine elektronische Zigarette oder einen Nachfüllbehälter wirbt,</w:t>
      </w:r>
    </w:p>
    <w:p>
      <w:pPr>
        <w:ind w:left="420"/>
      </w:pPr>
      <w:r>
        <w:t xml:space="preserve">8. entgegen § 19 Absatz 4 oder 5 ein dort genanntes Hörfunkprogramm oder eine dort genannte Veranstaltung oder Aktivität sponsert,</w:t>
      </w:r>
    </w:p>
    <w:p>
      <w:pPr>
        <w:ind w:left="420"/>
      </w:pPr>
      <w:r>
        <w:t xml:space="preserve">9. entgegen § 20 oder § 20a Satz 1 audiovisuelle kommerzielle Kommunikation oder Außenwerbung betreibt,</w:t>
      </w:r>
    </w:p>
    <w:p>
      <w:pPr>
        <w:ind w:left="420"/>
      </w:pPr>
      <w:r>
        <w:t xml:space="preserve">10. entgegen § 20b Absatz 1 ein Erzeugnis abgibt,</w:t>
      </w:r>
    </w:p>
    <w:p>
      <w:pPr>
        <w:ind w:left="420"/>
      </w:pPr>
      <w:r>
        <w:t xml:space="preserve">11. entgegen § 20b Absatz 2 ein Erzeugnis ausspielt,</w:t>
      </w:r>
    </w:p>
    <w:p>
      <w:pPr>
        <w:ind w:left="420"/>
      </w:pPr>
      <w:r>
        <w:t xml:space="preserve">12. entgegen § 21 Absatz 1, auch in Verbindung mit einer Rechtsverordnung nach § 21 Absatz 2, eine dort genannte werbliche Information verwendet,</w:t>
      </w:r>
    </w:p>
    <w:p>
      <w:pPr>
        <w:ind w:left="420"/>
      </w:pPr>
      <w:r>
        <w:t xml:space="preserve">13. entgegen § 23 Absatz 2 Nummer 2 in Verbindung mit einer Rechtsverordnung nach § 23 Absatz 1 Nummer 1 Buchstabe f ein Erzeugnis in den Verkehr bringt,</w:t>
      </w:r>
    </w:p>
    <w:p>
      <w:pPr>
        <w:ind w:left="420"/>
      </w:pPr>
      <w:r>
        <w:t xml:space="preserve">14. entgegen § 32 Satz 1 eine dort genannte Maßnahme nicht duldet oder die Marktüberwachungsbehörde oder einen Beauftragten nicht unterstützt oder</w:t>
      </w:r>
    </w:p>
    <w:p>
      <w:pPr>
        <w:ind w:left="420"/>
      </w:pPr>
      <w:r>
        <w:t xml:space="preserve">15. entgegen § 32 Satz 2 eine Auskunft nicht, nicht richtig, nicht vollständig oder nicht rechtzeitig erteilt.</w:t>
      </w:r>
    </w:p>
    <w:p>
      <w:r>
        <w:t xml:space="preserve">(3) Ordnungswidrig handelt, wer einer unmittelbar geltenden Vorschrift in Rechtsakten der Europäischen Union zuwiderhandelt, die inhaltlich</w:t>
      </w:r>
    </w:p>
    <w:p>
      <w:pPr>
        <w:ind w:left="420"/>
      </w:pPr>
      <w:r>
        <w:t xml:space="preserve">1. einer Regelung entspricht, zu der die in Absatz 2 Nummer 1</w:t>
      </w:r>
    </w:p>
    <w:p>
      <w:pPr>
        <w:ind w:left="780"/>
      </w:pPr>
      <w:r>
        <w:t xml:space="preserve">a) Buchstabe a,</w:t>
      </w:r>
    </w:p>
    <w:p>
      <w:pPr>
        <w:ind w:left="780"/>
      </w:pPr>
      <w:r>
        <w:t xml:space="preserve">b) Buchstabe b oder</w:t>
      </w:r>
    </w:p>
    <w:p>
      <w:pPr>
        <w:ind w:left="780"/>
      </w:pPr>
      <w:r>
        <w:t xml:space="preserve">c) Buchstabe c</w:t>
      </w:r>
    </w:p>
    <w:p>
      <w:pPr>
        <w:ind w:left="420"/>
      </w:pPr>
      <w:r>
        <w:t xml:space="preserve">genannten Vorschriften ermächtigen, oder</w:t>
      </w:r>
    </w:p>
    <w:p>
      <w:pPr>
        <w:ind w:left="420"/>
      </w:pPr>
      <w:r>
        <w:t xml:space="preserve">2. einem in Absatz 2</w:t>
      </w:r>
    </w:p>
    <w:p>
      <w:pPr>
        <w:ind w:left="780"/>
      </w:pPr>
      <w:r>
        <w:t xml:space="preserve">a) Nummer 2, 3 oder 5 oder</w:t>
      </w:r>
    </w:p>
    <w:p>
      <w:pPr>
        <w:ind w:left="780"/>
      </w:pPr>
      <w:r>
        <w:t xml:space="preserve">b) Nummer 4 oder 12</w:t>
      </w:r>
    </w:p>
    <w:p>
      <w:pPr>
        <w:ind w:left="420"/>
      </w:pPr>
      <w:r>
        <w:t xml:space="preserve">genannten Gebot oder Verbot entspricht,</w:t>
      </w:r>
    </w:p>
    <w:p>
      <w:r>
        <w:t xml:space="preserve">soweit eine Rechtsverordnung nach § 37 Nummer 2 für einen bestimmten Tatbestand auf diese Bußgeldvorschrift verweist.</w:t>
      </w:r>
    </w:p>
    <w:p>
      <w:r>
        <w:t xml:space="preserve">(4) Die Ordnungswidrigkeit kann in den Fällen des Absatzes 2 Nummer 1 Buchstabe b und des Absatzes 3 Nummer 1 Buchstabe b mit einer Geldbuße bis zu fünfzigtausend Euro, in den Fällen der Absätze 1, 2 Nummer 1 Buchstabe a, Nummer 2, 3, 5 bis 9 und des Absatzes 3 Nummer 1 Buchstabe a und Nummer 2 Buchstabe a mit einer Geldbuße bis zu dreißigtausend Euro, in den Fällen des Absatzes 2 Nummer 4 und 12 und des Absatzes 3 Nummer 2 Buchstabe b mit einer Geldbuße bis zu zehntausend Euro und in den übrigen Fällen mit einer Geldbuße bis zu fünftausend Euro geahndet werden.</w:t>
      </w:r>
    </w:p>
    <w:p>
      <w:r>
        <w:rPr>
          <w:color w:val="555555"/>
          <w:sz w:val="17"/>
        </w:rPr>
        <w:t xml:space="preserve">Zitiervorschlag: § 35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