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TabakerzG — Strafvorschriften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22.07.2023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entgegen § 4 Absatz 1, auch in Verbindung mit einer Rechtsverordnung nach § 4 Absatz 2, eine Zigarette herstellt oder in den Verkehr bringt,</w:t>
      </w:r>
    </w:p>
    <w:p>
      <w:pPr>
        <w:ind w:left="420"/>
      </w:pPr>
      <w:r>
        <w:t xml:space="preserve">2. entgegen § 5 Absatz 1 Nummer 1 in Verbindung mit einer Rechtsverordnung nach § 5 Absatz 2 Satz 1 Nummer 1 oder 2 eine Zigarette, Tabak zum Selbstdrehen oder ein erhitztes Tabakerzeugnis in den Verkehr bringt,</w:t>
      </w:r>
    </w:p>
    <w:p>
      <w:pPr>
        <w:ind w:left="420"/>
      </w:pPr>
      <w:r>
        <w:t xml:space="preserve">3. entgegen § 5 Absatz 1 Nummer 2 Filter, Papier oder eine Kapsel in den Verkehr bringt,</w:t>
      </w:r>
    </w:p>
    <w:p>
      <w:pPr>
        <w:ind w:left="420"/>
      </w:pPr>
      <w:r>
        <w:t xml:space="preserve">4. entgegen</w:t>
      </w:r>
    </w:p>
    <w:p>
      <w:pPr>
        <w:ind w:left="780"/>
      </w:pPr>
      <w:r>
        <w:t xml:space="preserve">a) § 5 Absatz 1 Nummer 3 oder 4 in Verbindung mit einer Rechtsverordnung nach § 5 Absatz 2 Satz 1 Nummer 3 oder 4,</w:t>
      </w:r>
    </w:p>
    <w:p>
      <w:pPr>
        <w:ind w:left="780"/>
      </w:pPr>
      <w:r>
        <w:t xml:space="preserve">b) § 8 Absatz 1 Nummer 2 in Verbindung mit einer Rechtsverordnung nach § 8 Absatz 2 Nummer 2 oder</w:t>
      </w:r>
    </w:p>
    <w:p>
      <w:pPr>
        <w:ind w:left="780"/>
      </w:pPr>
      <w:r>
        <w:t xml:space="preserve">c) § 11</w:t>
      </w:r>
    </w:p>
    <w:p>
      <w:pPr>
        <w:ind w:left="420"/>
      </w:pPr>
      <w:r>
        <w:t xml:space="preserve">ein Tabakerzeugnis in den Verkehr bringt,</w:t>
      </w:r>
    </w:p>
    <w:p>
      <w:pPr>
        <w:ind w:left="420"/>
      </w:pPr>
      <w:r>
        <w:t xml:space="preserve">5. einer Rechtsverordnung nach § 9 oder § 26 Absatz 1 Nummer 4 oder einer vollziehbaren Anordnung aufgrund einer solchen Rechtsverordnung zuwiderhandelt, soweit die Rechtsverordnung für einen bestimmten Tatbestand auf diese Strafvorschrift verweist,</w:t>
      </w:r>
    </w:p>
    <w:p>
      <w:pPr>
        <w:ind w:left="420"/>
      </w:pPr>
      <w:r>
        <w:t xml:space="preserve">6. ohne Zulassung nach § 12 Absatz 1 ein neuartiges Tabakerzeugnis in den Verkehr bringt,</w:t>
      </w:r>
    </w:p>
    <w:p>
      <w:pPr>
        <w:ind w:left="420"/>
      </w:pPr>
      <w:r>
        <w:t xml:space="preserve">7. entgegen</w:t>
      </w:r>
    </w:p>
    <w:p>
      <w:pPr>
        <w:ind w:left="780"/>
      </w:pPr>
      <w:r>
        <w:t xml:space="preserve">a) § 13 Absatz 1 Nummer 1 in Verbindung mit einer Rechtsverordnung nach § 13 Absatz 2,</w:t>
      </w:r>
    </w:p>
    <w:p>
      <w:pPr>
        <w:ind w:left="780"/>
      </w:pPr>
      <w:r>
        <w:t xml:space="preserve">b) § 13 Absatz 1 Nummer 2 oder 3 oder</w:t>
      </w:r>
    </w:p>
    <w:p>
      <w:pPr>
        <w:ind w:left="780"/>
      </w:pPr>
      <w:r>
        <w:t xml:space="preserve">c) § 14 Absatz 1 Satz 1, Absatz 2 oder 3 Satz 1 in Verbindung mit einer Rechtsverordnung nach § 14 Absatz 3 Satz 2</w:t>
      </w:r>
    </w:p>
    <w:p>
      <w:pPr>
        <w:ind w:left="420"/>
      </w:pPr>
      <w:r>
        <w:t xml:space="preserve">eine elektronische Zigarette oder einen Nachfüllbehälter in den Verkehr bringt,</w:t>
      </w:r>
    </w:p>
    <w:p>
      <w:pPr>
        <w:ind w:left="420"/>
      </w:pPr>
      <w:r>
        <w:t xml:space="preserve">8. entgegen</w:t>
      </w:r>
    </w:p>
    <w:p>
      <w:pPr>
        <w:ind w:left="780"/>
      </w:pPr>
      <w:r>
        <w:t xml:space="preserve">a) § 18 Absatz 1 Nummer 1 in Verbindung mit einer Rechtsverordnung nach § 25 Absatz 2 Satz 1,</w:t>
      </w:r>
    </w:p>
    <w:p>
      <w:pPr>
        <w:ind w:left="780"/>
      </w:pPr>
      <w:r>
        <w:t xml:space="preserve">b) § 18 Absatz 1 Nummer 2 oder</w:t>
      </w:r>
    </w:p>
    <w:p>
      <w:pPr>
        <w:ind w:left="780"/>
      </w:pPr>
      <w:r>
        <w:t xml:space="preserve">c) § 23 Absatz 2 Nummer 1 in Verbindung mit einer Rechtsverordnung nach § 23 Absatz 1 Nummer 1 Buchstabe a oder d</w:t>
      </w:r>
    </w:p>
    <w:p>
      <w:pPr>
        <w:ind w:left="420"/>
      </w:pPr>
      <w:r>
        <w:t xml:space="preserve">ein Erzeugnis in den Verkehr bringt,</w:t>
      </w:r>
    </w:p>
    <w:p>
      <w:pPr>
        <w:ind w:left="420"/>
      </w:pPr>
      <w:r>
        <w:t xml:space="preserve">9. entgegen § 18 Absatz 2 Satz 1, auch in Verbindung mit § 18 Absatz 4 oder 5 Satz 1, ein Tabakerzeugnis, eine elektronische Zigarette, einen Nachfüllbehälter oder ein pflanzliches Raucherzeugnis in den Verkehr bringt,</w:t>
      </w:r>
    </w:p>
    <w:p>
      <w:pPr>
        <w:ind w:left="420"/>
      </w:pPr>
      <w:r>
        <w:t xml:space="preserve">10. entgegen § 18 Absatz 3, auch in Verbindung mit § 18 Absatz 4, ein Tabakerzeugnis, eine elektronische Zigarette oder einen Nachfüllbehälter in den Verkehr bringt,</w:t>
      </w:r>
    </w:p>
    <w:p>
      <w:pPr>
        <w:ind w:left="420"/>
      </w:pPr>
      <w:r>
        <w:t xml:space="preserve">11. entgegen § 18 Absatz 5 Satz 2 ein pflanzliches Raucherzeugnis in den Verkehr bringt,</w:t>
      </w:r>
    </w:p>
    <w:p>
      <w:pPr>
        <w:ind w:left="420"/>
      </w:pPr>
      <w:r>
        <w:t xml:space="preserve">12. entgegen § 22 Absatz 1 Nummer 1 ein Altersüberprüfungssystem nicht oder nicht richtig verwendet,</w:t>
      </w:r>
    </w:p>
    <w:p>
      <w:pPr>
        <w:ind w:left="420"/>
      </w:pPr>
      <w:r>
        <w:t xml:space="preserve">13. ohne Registrierung nach § 22 Absatz 1 Nummer 2 Fernabsatz betreibt oder</w:t>
      </w:r>
    </w:p>
    <w:p>
      <w:pPr>
        <w:ind w:left="420"/>
      </w:pPr>
      <w:r>
        <w:t xml:space="preserve">14. entgegen § 24 oder § 26 Absatz 2 in Verbindung mit einer Rechtsverordnung nach § 26 Absatz 1 Nummer 1 bis 3 oder 5 einen Bedarfsgegenstand in den Verkehr bringt.</w:t>
      </w:r>
    </w:p>
    <w:p>
      <w:r>
        <w:t xml:space="preserve">(2) Ebenso wird bestraft, wer einer unmittelbar geltenden Vorschrift in Rechtsakten der Europäischen Union zuwiderhandelt, die inhaltlich</w:t>
      </w:r>
    </w:p>
    <w:p>
      <w:pPr>
        <w:ind w:left="420"/>
      </w:pPr>
      <w:r>
        <w:t xml:space="preserve">1. einem in Absatz 1 Nummer 1 bis 4 Buchstabe a oder Nummer 7 genannten Gebot oder Verbot entspricht, oder</w:t>
      </w:r>
    </w:p>
    <w:p>
      <w:pPr>
        <w:ind w:left="420"/>
      </w:pPr>
      <w:r>
        <w:t xml:space="preserve">2. einer Regelung entspricht, zu der die in Absatz 1 Nummer 5 genannten Vorschriften ermächtigen,</w:t>
      </w:r>
    </w:p>
    <w:p>
      <w:r>
        <w:t xml:space="preserve">soweit eine Rechtsverordnung nach § 37 Nummer 1 für einen bestimmten Tatbestand auf diese Strafvorschrift verweist.</w:t>
      </w:r>
    </w:p>
    <w:p>
      <w:r>
        <w:rPr>
          <w:color w:val="555555"/>
          <w:sz w:val="17"/>
        </w:rPr>
        <w:t xml:space="preserve">Zitiervorschlag: § 34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