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TabakerzG — Ermächtigungen</w:t>
      </w:r>
    </w:p>
    <w:p>
      <w:r>
        <w:rPr>
          <w:color w:val="555555"/>
          <w:sz w:val="18"/>
        </w:rPr>
        <w:t xml:space="preserve">Tabakerzeugnisgesetz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Ernährung und Landwirtschaft wird ermächtigt, um eine einheitliche Durchführung der Überwachung zu fördern, durch Rechtsverordnung mit Zustimmung des Bundesrates,</w:t>
      </w:r>
    </w:p>
    <w:p>
      <w:pPr>
        <w:ind w:left="420"/>
      </w:pPr>
      <w:r>
        <w:t xml:space="preserve">1. Vorschriften zu erlassen über</w:t>
      </w:r>
    </w:p>
    <w:p>
      <w:pPr>
        <w:ind w:left="780"/>
      </w:pPr>
      <w:r>
        <w:t xml:space="preserve">a) die personelle, apparative und sonstige technische Mindestausstattung von Prüflaboratorien,</w:t>
      </w:r>
    </w:p>
    <w:p>
      <w:pPr>
        <w:ind w:left="780"/>
      </w:pPr>
      <w:r>
        <w:t xml:space="preserve">b) die Voraussetzungen und das Verfahren für die Zulassung privater Sachverständiger, die zur Untersuchung von amtlich zurückgelassenen Proben befugt sind;</w:t>
      </w:r>
    </w:p>
    <w:p>
      <w:pPr>
        <w:ind w:left="420"/>
      </w:pPr>
      <w:r>
        <w:t xml:space="preserve">2. Vorschriften über Verfahren zur Probenahme und Untersuchung von Erzeugnissen zu erlassen.</w:t>
      </w:r>
    </w:p>
    <w:p>
      <w:r>
        <w:rPr>
          <w:color w:val="555555"/>
          <w:sz w:val="17"/>
        </w:rPr>
        <w:t xml:space="preserve">Zitiervorschlag: § 33 TabakerzG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