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27a TabakerzG — Durchführung der Überwachung</w:t>
      </w:r>
    </w:p>
    <w:p>
      <w:r>
        <w:rPr>
          <w:color w:val="555555"/>
          <w:sz w:val="18"/>
        </w:rPr>
        <w:t xml:space="preserve">Tabakerzeugnisgesetz</w:t>
      </w:r>
    </w:p>
    <w:p>
      <w:r>
        <w:rPr>
          <w:color w:val="555555"/>
          <w:sz w:val="18"/>
        </w:rPr>
        <w:t xml:space="preserve">Stand: 13.12.2024 (konsolidierte Textfassung, kein amtliches Inkrafttretensdatum)</w:t>
      </w:r>
    </w:p>
    <w:p>
      <w:r>
        <w:t xml:space="preserve">Die Überwachung der Einhaltung dieses Gesetzes, der aufgrund dieses Gesetzes erlassenen Rechtsverordnungen und der unmittelbar geltenden Rechtsakte der Europäischen Gemeinschaft oder der Europäischen Union im Anwendungsbereich dieses Gesetzes ist durch fachlich ausgebildete Personen durchzuführen. Das Bundesministerium für Ernährung und Landwirtschaft (Bundesministerium) wird ermächtigt, durch Rechtsverordnung mit Zustimmung des Bundesrates</w:t>
      </w:r>
    </w:p>
    <w:p>
      <w:pPr>
        <w:ind w:left="420"/>
      </w:pPr>
      <w:r>
        <w:t xml:space="preserve">1. vorzuschreiben, dass bestimmte Überwachungsmaßnahmen einer wissenschaftlich ausgebildeten Person obliegen und dabei andere fachlich ausgebildete Personen nach Weisung der zuständigen Behörde und unter der fachlichen Aufsicht einer wissenschaftlich ausgebildeten Person eingesetzt werden können,</w:t>
      </w:r>
    </w:p>
    <w:p>
      <w:pPr>
        <w:ind w:left="420"/>
      </w:pPr>
      <w:r>
        <w:t xml:space="preserve">2. vorzuschreiben, dass abweichend von Satz 1 bestimmte Überwachungsmaßnahmen von sachkundigen Personen durchgeführt werden können,</w:t>
      </w:r>
    </w:p>
    <w:p>
      <w:pPr>
        <w:ind w:left="420"/>
      </w:pPr>
      <w:r>
        <w:t xml:space="preserve">3. Vorschriften zu erlassen über die</w:t>
      </w:r>
    </w:p>
    <w:p>
      <w:pPr>
        <w:ind w:left="780"/>
      </w:pPr>
      <w:r>
        <w:t xml:space="preserve">a) Anforderungen an die Sachkunde, die an die in Nummer 1 genannte wissenschaftlich ausgebildete Person und die in Nummer 2 genannten sachkundigen Personen,</w:t>
      </w:r>
    </w:p>
    <w:p>
      <w:pPr>
        <w:ind w:left="780"/>
      </w:pPr>
      <w:r>
        <w:t xml:space="preserve">b) fachlichen Anforderungen, die an die in Satz 1 genannten Personen</w:t>
      </w:r>
    </w:p>
    <w:p>
      <w:r>
        <w:t xml:space="preserve">zu stellen sind, sowie das Verfahren des Nachweises der Sachkunde und der fachlichen Anforderungen zu regeln. Die Landesregierungen werden ermächtigt, Rechtsverordnungen nach Satz 2 Nummer 3 zu erlassen, soweit das Bundesministerium von seiner Befugnis keinen Gebrauch macht. Die Landesregierungen sind befugt, die Ermächtigung durch Rechtsverordnung auf andere Behörden zu übertragen.</w:t>
      </w:r>
    </w:p>
    <w:p>
      <w:r>
        <w:rPr>
          <w:color w:val="555555"/>
          <w:sz w:val="17"/>
        </w:rPr>
        <w:t xml:space="preserve">Zitiervorschlag: § 27a TabakerzG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https://recht.nulegal.eu/gesetze/TabakerzG/27a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