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TabakerzG — Zuständigkeit und Zusammenarbeit</w:t>
      </w:r>
    </w:p>
    <w:p>
      <w:r>
        <w:rPr>
          <w:color w:val="555555"/>
          <w:sz w:val="18"/>
        </w:rPr>
        <w:t xml:space="preserve">Tabakerzeugnisgesetz</w:t>
      </w:r>
    </w:p>
    <w:p>
      <w:r>
        <w:rPr>
          <w:color w:val="555555"/>
          <w:sz w:val="18"/>
        </w:rPr>
        <w:t xml:space="preserve">Stand: 10.06.2019 (konsolidierte Textfassung, kein amtliches Inkrafttretensdatum)</w:t>
      </w:r>
    </w:p>
    <w:p>
      <w:r>
        <w:t xml:space="preserve">(1) Vorbehaltlich des Satzes 2 obliegt die Marktüberwachung den nach Landesrecht zuständigen Behörden. Zuständigkeiten zur Durchführung dieses Gesetzes, die durch andere Rechtsvorschriften zugewiesen sind, bleiben unberührt. Im Geschäftsbereich des Bundesministeriums der Verteidigung obliegt die Marktüberwachung dem Bundesministerium der Verteidigung und den von ihm bestimmten Stellen.</w:t>
      </w:r>
    </w:p>
    <w:p>
      <w:r>
        <w:t xml:space="preserve">(2) Die in Absatz 1 genannten Marktüberwachungsbehörden arbeiten mit den Zollbehörden gemäß Kapitel III Abschnitt 3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zusammen. Im Rahmen dieser Zusammenarbeit können die Zollbehörden den Marktüberwachungsbehörden auf Ersuchen die Informationen übermitteln, die sie bei der Überführung von Produkten in den zollrechtlich freien Verkehr erlangt haben und die für die Aufgabenerfüllung der Marktüberwachungsbehörden erforderlich sind. Aussetzungen der Freigabe zum freien Verkehr nach Artikel 27 Absatz 3 Satz 1 der Verordnung (EG) Nr. 765/2008 sind der Marktüberwachungsbehörde zu melden, die für die Zollstelle örtlich zuständig ist.</w:t>
      </w:r>
    </w:p>
    <w:p>
      <w:r>
        <w:rPr>
          <w:color w:val="555555"/>
          <w:sz w:val="17"/>
        </w:rPr>
        <w:t xml:space="preserve">Zitiervorschlag: § 27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