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TabakerzG — Übergang von Stoffen auf Erzeugnisse</w:t>
      </w:r>
    </w:p>
    <w:p>
      <w:r>
        <w:rPr>
          <w:color w:val="555555"/>
          <w:sz w:val="18"/>
        </w:rPr>
        <w:t xml:space="preserve">Tabakerzeugnisgesetz</w:t>
      </w:r>
    </w:p>
    <w:p>
      <w:r>
        <w:rPr>
          <w:color w:val="555555"/>
          <w:sz w:val="18"/>
        </w:rPr>
        <w:t xml:space="preserve">Stand: 10.06.2019 (konsolidierte Textfassung, kein amtliches Inkrafttretensdatum)</w:t>
      </w:r>
    </w:p>
    <w:p>
      <w:r>
        <w:t xml:space="preserve">(1) Es ist verboten, Bedarfsgegenstände so zu verwenden oder für solche Verwendungszwecke in den Verkehr zu bringen, dass von ihnen Stoffe auf Erzeugnisse übergehen. Davon ausgenommen sind stoffliche Anteile, deren Übergang gesundheitlich, geruchlich und geschmacklich unbedenklich und technisch unvermeidbar ist.</w:t>
      </w:r>
    </w:p>
    <w:p>
      <w:r>
        <w:t xml:space="preserve">(2) Das Bundesministerium für Ernährung und Landwirtschaft wird ermächtigt, durch Rechtsverordnung mit Zustimmung des Bundesrates, soweit dies mit dem Schutz der Verbraucherinnen und Verbraucher vor Gesundheitsschäden vereinbar ist, für bestimmte Stoffe die Anteile festzusetzen, deren Übergang als unbedenklich und unvermeidbar im Sinne des Absatzes 1 anzusehen ist. Das Bundesministerium für Ernährung und Landwirtschaft kann die Ermächtigung durch Rechtsverordnung mit Zustimmung des Bundesrates auf das Bundesamt für Verbraucherschutz und Lebensmittelsicherheit übertragen. Das Bundesamt für Verbraucherschutz und Lebensmittelsicherheit bedarf zum Erlass solcher Rechtsverordnungen nicht der Zustimmung des Bundesrates.</w:t>
      </w:r>
    </w:p>
    <w:p>
      <w:r>
        <w:rPr>
          <w:color w:val="555555"/>
          <w:sz w:val="17"/>
        </w:rPr>
        <w:t xml:space="preserve">Zitiervorschlag: § 25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