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TabakerzG — Sonstige Begriffsbestimmungen</w:t>
      </w:r>
    </w:p>
    <w:p>
      <w:r>
        <w:rPr>
          <w:color w:val="555555"/>
          <w:sz w:val="18"/>
        </w:rPr>
        <w:t xml:space="preserve">Tabakerzeugnisgesetz</w:t>
      </w:r>
    </w:p>
    <w:p>
      <w:r>
        <w:rPr>
          <w:color w:val="555555"/>
          <w:sz w:val="18"/>
        </w:rPr>
        <w:t xml:space="preserve">Stand: 01.01.2021 (konsolidierte Textfassung, kein amtliches Inkrafttretensdatum)</w:t>
      </w:r>
    </w:p>
    <w:p>
      <w:r>
        <w:t xml:space="preserve">Im Sinne dieses Gesetzes und der aufgrund dieses Gesetzes erlassenen Rechtsverordnungen ist oder sind:</w:t>
      </w:r>
    </w:p>
    <w:p>
      <w:pPr>
        <w:ind w:left="420"/>
      </w:pPr>
      <w:r>
        <w:t xml:space="preserve">1. Erzeugnisse: Tabakerzeugnisse und verwandte Erzeugnisse,</w:t>
      </w:r>
    </w:p>
    <w:p>
      <w:pPr>
        <w:ind w:left="420"/>
      </w:pPr>
      <w:r>
        <w:t xml:space="preserve">2. verwandte Erzeugnisse: elektronische Zigaretten, Nachfüllbehälter und pflanzliche Raucherzeugnisse,</w:t>
      </w:r>
    </w:p>
    <w:p>
      <w:pPr>
        <w:ind w:left="420"/>
      </w:pPr>
      <w:r>
        <w:t xml:space="preserve">3. Behandeln: das Wiegen, Messen, Um- und Abfüllen, Stempeln, Bedrucken, Verpacken, Kühlen, Lagern, Aufbewahren, Befördern sowie jede sonstige Tätigkeit, die nicht als Herstellen oder Inverkehrbringen anzusehen ist,</w:t>
      </w:r>
    </w:p>
    <w:p>
      <w:pPr>
        <w:ind w:left="420"/>
      </w:pPr>
      <w:r>
        <w:t xml:space="preserve">4. werbliche Informationen: Bezeichnungen, Angaben, Aufmachungen, Darstellungen, Zeichen und Symbole zu Zwecken der Werbung,</w:t>
      </w:r>
    </w:p>
    <w:p>
      <w:pPr>
        <w:ind w:left="420"/>
      </w:pPr>
      <w:r>
        <w:t xml:space="preserve">5. Werbung: jede Art kommerzieller Kommunikation mit dem Ziel oder mit der direkten oder indirekten Wirkung, den Verkauf eines Erzeugnisses zu fördern,</w:t>
      </w:r>
    </w:p>
    <w:p>
      <w:pPr>
        <w:ind w:left="420"/>
      </w:pPr>
      <w:r>
        <w:t xml:space="preserve">6. Sponsoring: jeder öffentliche oder private Beitrag zu einer Veranstaltung oder einer Aktivität oder jede Unterstützung von Einzelpersonen mit dem Ziel oder der direkten oder indirekten Wirkung, den Verkauf eines Erzeugnisses zu fördern,</w:t>
      </w:r>
    </w:p>
    <w:p>
      <w:pPr>
        <w:ind w:left="420"/>
      </w:pPr>
      <w:r>
        <w:t xml:space="preserve">7. Dienste der Informationsgesellschaft: Dienste im Sinne des Artikels 1 Absatz 1 Buchstabe b der Richtlinie (EU) 2015/1535 des Europäischen Parlaments und des Rates vom 9. September 2015 über ein Informationsverfahren auf dem Gebiet der technischen Vorschriften und der Vorschriften für die Dienste der Informationsgesellschaft (ABl. L 241 vom 17.9.2015, S. 1),</w:t>
      </w:r>
    </w:p>
    <w:p>
      <w:pPr>
        <w:ind w:left="420"/>
      </w:pPr>
      <w:r>
        <w:t xml:space="preserve">8. Bedarfsgegenstände: Packungen, Behältnisse oder sonstige Umhüllungen, die dazu bestimmt sind, mit Erzeugnissen in Berührung zu kommen,</w:t>
      </w:r>
    </w:p>
    <w:p>
      <w:pPr>
        <w:ind w:left="420"/>
      </w:pPr>
      <w:r>
        <w:t xml:space="preserve">9. Außenwerbung: jede Werbung außerhalb geschlossener Räume einschließlich Schaufensterwerbung,</w:t>
      </w:r>
    </w:p>
    <w:p>
      <w:pPr>
        <w:ind w:left="420"/>
      </w:pPr>
      <w:r>
        <w:t xml:space="preserve">10. Zollbehörden: die Hauptzollämter und Zollfahndungsämter.</w:t>
      </w:r>
    </w:p>
    <w:p>
      <w:r>
        <w:rPr>
          <w:color w:val="555555"/>
          <w:sz w:val="17"/>
        </w:rPr>
        <w:t xml:space="preserve">Zitiervorschlag: § 2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