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TabakerzG — Beschaffenheit von elektronischen Zigaretten und Nachfüllbehältern</w:t>
      </w:r>
    </w:p>
    <w:p>
      <w:r>
        <w:rPr>
          <w:color w:val="555555"/>
          <w:sz w:val="18"/>
        </w:rPr>
        <w:t xml:space="preserve">Tabakerzeugnisgesetz</w:t>
      </w:r>
    </w:p>
    <w:p>
      <w:r>
        <w:rPr>
          <w:color w:val="555555"/>
          <w:sz w:val="18"/>
        </w:rPr>
        <w:t xml:space="preserve">Stand: 22.07.2023 (konsolidierte Textfassung, kein amtliches Inkrafttretensdatum)</w:t>
      </w:r>
    </w:p>
    <w:p>
      <w:r>
        <w:t xml:space="preserve">(1) Elektronische Zigaretten und Nachfüllbehälter, die Nikotin enthalten, dürfen nach Maßgabe des Satzes 2 nur in den Verkehr gebracht werden, wenn</w:t>
      </w:r>
    </w:p>
    <w:p>
      <w:pPr>
        <w:ind w:left="420"/>
      </w:pPr>
      <w:r>
        <w:t xml:space="preserve">1. Nachfüllbehälter ein Volumen von höchstens 10 Millilitern haben,</w:t>
      </w:r>
    </w:p>
    <w:p>
      <w:pPr>
        <w:ind w:left="420"/>
      </w:pPr>
      <w:r>
        <w:t xml:space="preserve">2. elektronische Einwegzigaretten oder Einwegkartuschen ein Volumen von höchstens 2 Millilitern haben.</w:t>
      </w:r>
    </w:p>
    <w:p>
      <w:r>
        <w:t xml:space="preserve">Die nikotinhaltige zu verdampfende Flüssigkeit darf einen Nikotingehalt von höchstens 20 Milligramm pro Milliliter haben.</w:t>
      </w:r>
    </w:p>
    <w:p>
      <w:r>
        <w:t xml:space="preserve">(2) Elektronische Zigaretten, die Nikotin enthalten, dürfen nur in den Verkehr gebracht werden, wenn die Nikotindosis unter normalen Gebrauchsbedingungen auf einem gleichmäßigen Niveau abgegeben wird.</w:t>
      </w:r>
    </w:p>
    <w:p>
      <w:r>
        <w:t xml:space="preserve">(3) Elektronische Zigaretten und Nachfüllbehälter dürfen nur in den Verkehr gebracht werden, wenn sie kinder- und manipulationssicher sowie bruch- und auslaufsicher sind und über einen Mechanismus für eine auslauffreie Nachfüllung verfügen. 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oder zur Durchführung von Rechtsakten der Europäischen Union erforderlich ist, für elektronische Zigaretten und Nachfüllbehälter</w:t>
      </w:r>
    </w:p>
    <w:p>
      <w:pPr>
        <w:ind w:left="420"/>
      </w:pPr>
      <w:r>
        <w:t xml:space="preserve">1. technische Anforderungen an die Kinder-, Manipulations-, Bruch- und Auslaufsicherheit festzulegen,</w:t>
      </w:r>
    </w:p>
    <w:p>
      <w:pPr>
        <w:ind w:left="420"/>
      </w:pPr>
      <w:r>
        <w:t xml:space="preserve">2. Anforderungen an eine auslauffreie Nachfüllung festzulegen.</w:t>
      </w:r>
    </w:p>
    <w:p>
      <w:r>
        <w:rPr>
          <w:color w:val="555555"/>
          <w:sz w:val="17"/>
        </w:rPr>
        <w:t xml:space="preserve">Zitiervorschlag: § 14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