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TabakerzG — Neuartige Tabakerzeugnisse</w:t>
      </w:r>
    </w:p>
    <w:p>
      <w:r>
        <w:rPr>
          <w:color w:val="555555"/>
          <w:sz w:val="18"/>
        </w:rPr>
        <w:t xml:space="preserve">Tabakerzeugnisgesetz</w:t>
      </w:r>
    </w:p>
    <w:p>
      <w:r>
        <w:rPr>
          <w:color w:val="555555"/>
          <w:sz w:val="18"/>
        </w:rPr>
        <w:t xml:space="preserve">Stand: 22.07.2023 (konsolidierte Textfassung, kein amtliches Inkrafttretensdatum)</w:t>
      </w:r>
    </w:p>
    <w:p>
      <w:r>
        <w:t xml:space="preserve">(1) Neuartige Tabakerzeugnisse dürfen nur in den Verkehr gebracht werden, wenn sie zugelassen sind.</w:t>
      </w:r>
    </w:p>
    <w:p>
      <w:r>
        <w:t xml:space="preserve">(2) Zuständig für die Zulassung ist das Bundesamt für Verbraucherschutz und Lebensmittelsicherheit im Einvernehmen mit dem Bundesamt für Wirtschaft und Ausfuhrkontrolle.</w:t>
      </w:r>
    </w:p>
    <w:p>
      <w:r>
        <w:t xml:space="preserve">(3) Die Zulassung ist nur zu versagen, wenn das neuartige Tabakerzeugnis, je nachdem ob es sich um ein Rauchtabakerzeugnis oder ein rauchloses Tabakerzeugnis handelt, die für dieses Erzeugnis geltenden Anforderungen dieses Gesetzes oder der aufgrund dieses Gesetzes erlassenen Rechtsverordnungen nicht erfüllt.</w:t>
      </w:r>
    </w:p>
    <w:p>
      <w:r>
        <w:t xml:space="preserve">(4) Werden die jeweils geltenden Anforderungen dieses Gesetzes oder der aufgrund dieses Gesetzes erlassenen Rechtsverordnungen nicht mehr erfüllt, ist die Zulassung zu widerrufen. § 49 des Verwaltungsverfahrensgesetzes bleibt unberührt.</w:t>
      </w:r>
    </w:p>
    <w:p>
      <w:r>
        <w:t xml:space="preserve">(5) Das Bundesministerium für Ernährung und Landwirtschaft wird ermächtigt, im Einvernehmen mit dem Bundesministerium für Wirtschaft und Klimaschutz durch Rechtsverordnung mit Zustimmung des Bundesrates das Zulassungsverfahren zu regeln einschließlich der vom Antragsteller beizubringenden Informationen insbesondere über</w:t>
      </w:r>
    </w:p>
    <w:p>
      <w:pPr>
        <w:ind w:left="420"/>
      </w:pPr>
      <w:r>
        <w:t xml:space="preserve">1. die gesundheitlichen Auswirkungen einschließlich des Suchtpotenzials und einer Risiko-Nutzen-Analyse,</w:t>
      </w:r>
    </w:p>
    <w:p>
      <w:pPr>
        <w:ind w:left="420"/>
      </w:pPr>
      <w:r>
        <w:t xml:space="preserve">2. Marktforschung und die erwartete Verbraucherwahrnehmung.</w:t>
      </w:r>
    </w:p>
    <w:p>
      <w:r>
        <w:rPr>
          <w:color w:val="555555"/>
          <w:sz w:val="17"/>
        </w:rPr>
        <w:t xml:space="preserve">Zitiervorschlag: § 12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