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TabakerzG — Tabakerzeugnisse zum oralen Gebrauch</w:t>
      </w:r>
    </w:p>
    <w:p>
      <w:r>
        <w:rPr>
          <w:color w:val="555555"/>
          <w:sz w:val="18"/>
        </w:rPr>
        <w:t xml:space="preserve">Tabakerzeugnisgesetz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ist verboten, Tabakerzeugnisse zum oralen Gebrauch in den Verkehr zu bringen.</w:t>
      </w:r>
    </w:p>
    <w:p>
      <w:r>
        <w:rPr>
          <w:color w:val="555555"/>
          <w:sz w:val="17"/>
        </w:rPr>
        <w:t xml:space="preserve">Zitiervorschlag: § 11 TabakerzG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