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TabakerzG — Begriffsbestimmungen; Anwendbarkeit weiterer Bestimmungen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22.07.2023 (konsolidierte Textfassung, kein amtliches Inkrafttretensdatum)</w:t>
      </w:r>
    </w:p>
    <w:p>
      <w:r>
        <w:t xml:space="preserve">(1) Für die Anwendung dieses Gesetzes und der auf Grund dieses Gesetzes erlassenen Rechtsverordnungen gelten die Begriffsbestimmungen</w:t>
      </w:r>
    </w:p>
    <w:p>
      <w:pPr>
        <w:ind w:left="420"/>
      </w:pPr>
      <w:r>
        <w:t xml:space="preserve">1. des Artikels 2 der Richtlinie 2014/40/EU des Europäischen Parlaments und des Rates vom 3. April 2014 zur Angleichung der Rechts- und Verwaltungsvorschriften der Mitgliedstaaten über die Herstellung, die Aufmachung und den Verkauf von Tabakerzeugnissen und verwandten Erzeugnissen und zur Aufhebung der Richtlinie 2001/37/EG (ABl. L 127 vom 29.4.2014, S. 1) mit folgenden Maßgaben:</w:t>
      </w:r>
    </w:p>
    <w:p>
      <w:pPr>
        <w:ind w:left="780"/>
      </w:pPr>
      <w:r>
        <w:t xml:space="preserve">a) die Nummer 14 mit der Maßgabe, dass der Begriff „neuartiges Tabakerzeugnis“ auch erhitzte Tabakerzeugnisse im Sinne des Artikels 7 Absatz 12 Unterabsatz 2 der Richtlinie 2014/40/EU umfasst,</w:t>
      </w:r>
    </w:p>
    <w:p>
      <w:pPr>
        <w:ind w:left="780"/>
      </w:pPr>
      <w:r>
        <w:t xml:space="preserve">b) die Nummern 16 und 17 mit der Maßgabe, dass die dort bezeichneten Begriffe auch nicht nikotinhaltige elektronische Zigaretten und nicht nikotinhaltige Nachfüllbehälter umfassen,</w:t>
      </w:r>
    </w:p>
    <w:p>
      <w:pPr>
        <w:ind w:left="780"/>
      </w:pPr>
      <w:r>
        <w:t xml:space="preserve">c) die Nummer 40 mit der Maßgabe, dass die Bereitstellung von Produkten jede Abgabe eines Produkts zum Vertrieb, Verbrauch oder zur Verwendung auf dem Gemeinschaftsmarkt im Rahmen einer Geschäftstätigkeit umfasst,</w:t>
      </w:r>
    </w:p>
    <w:p>
      <w:pPr>
        <w:ind w:left="420"/>
      </w:pPr>
      <w:r>
        <w:t xml:space="preserve">2. des Artikels 2 der Durchführungsverordnung (EU) 2018/574 der Kommission vom 15. Dezember 2017 über technische Standards für die Errichtung und den Betrieb eines Rückverfolgbarkeitssystems für Tabakerzeugnisse (ABl. L 96 vom 16.4.2018, S. 7),</w:t>
      </w:r>
    </w:p>
    <w:p>
      <w:pPr>
        <w:ind w:left="420"/>
      </w:pPr>
      <w:r>
        <w:t xml:space="preserve">3. des Artikels 2 der Delegierten Verordnung (EU) 2018/573 der Kommission vom 15. Dezember 2017 über Kernelemente der im Rahmen eines Rückverfolgbarkeitssystems für Tabakerzeugnisse zu schließenden Datenspeicherungsverträge (ABl. L 96 vom 16.4.2018, S. 1) und</w:t>
      </w:r>
    </w:p>
    <w:p>
      <w:pPr>
        <w:ind w:left="420"/>
      </w:pPr>
      <w:r>
        <w:t xml:space="preserve">4. des Artikels 2 des Durchführungsbeschlusses (EU) 2018/576 der Kommission vom 15. Dezember 2017 über technische Standards für Sicherheitsmerkmale von Tabakerzeugnissen (ABl. L 96 vom 16.4.2018, S. 57).</w:t>
      </w:r>
    </w:p>
    <w:p>
      <w:r>
        <w:t xml:space="preserve">(2) Bestimmungen über den Schutz der menschlichen Gesundheit oder zum Schutz der Verbraucherinnen und Verbraucher vor Täuschung aufgrund anderer Gesetze und der aufgrund dieser Gesetze erlassenen Rechtsverordnungen bleiben unberührt.</w:t>
      </w:r>
    </w:p>
    <w:p>
      <w:r>
        <w:rPr>
          <w:color w:val="555555"/>
          <w:sz w:val="17"/>
        </w:rPr>
        <w:t xml:space="preserve">Zitiervorschlag: § 1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