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TabStV 2010 — Kleinbetragsregelung</w:t>
      </w:r>
    </w:p>
    <w:p>
      <w:r>
        <w:rPr>
          <w:color w:val="555555"/>
          <w:sz w:val="18"/>
        </w:rPr>
        <w:t xml:space="preserve">Tabaksteuerverordnung</w:t>
      </w:r>
    </w:p>
    <w:p>
      <w:r>
        <w:rPr>
          <w:color w:val="555555"/>
          <w:sz w:val="18"/>
        </w:rPr>
        <w:t xml:space="preserve">Stand: 07.09.2021 (konsolidierte Textfassung, kein amtliches Inkrafttretensdatum)</w:t>
      </w:r>
    </w:p>
    <w:p>
      <w:r>
        <w:t xml:space="preserve">Eine angemeldete oder festgesetzte Steuer oder Steuerzeichenschuld wird vom Hauptzollamt nur abweichend festgesetzt, geändert oder berichtigt, wenn die Abweichung mindestens 25 Euro beträgt. Satz 1 gilt für den Erlass und die Erstattung der Steuer oder der Steuerzeichenschuld entsprechend.</w:t>
      </w:r>
    </w:p>
    <w:p>
      <w:r>
        <w:rPr>
          <w:color w:val="555555"/>
          <w:sz w:val="17"/>
        </w:rPr>
        <w:t xml:space="preserve">Zitiervorschlag: § 53 TabStV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https://recht.nulegal.eu/gesetze/TabStV%202010/53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