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TabStV 2010 — Probenentnahme im Rahmen der Steueraufsicht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07.09.2021 (konsolidierte Textfassung, kein amtliches Inkrafttretensdatum)</w:t>
      </w:r>
    </w:p>
    <w:p>
      <w:r>
        <w:t xml:space="preserve">Die mit der Steueraufsicht betrauten Amtsträger können zu Untersuchungszwecken unentgeltlich Proben entnehmen von:</w:t>
      </w:r>
    </w:p>
    <w:p>
      <w:pPr>
        <w:ind w:left="420"/>
      </w:pPr>
      <w:r>
        <w:t xml:space="preserve">1. Waren, die der Tabaksteuer unterliegen oder unterliegen können,</w:t>
      </w:r>
    </w:p>
    <w:p>
      <w:pPr>
        <w:ind w:left="420"/>
      </w:pPr>
      <w:r>
        <w:t xml:space="preserve">2. Roh- und Ausgangsstoffen sowie von Halb- und Fertigerzeugnissen, die zur oder bei der Herstellung solcher Waren verwendet werden, und</w:t>
      </w:r>
    </w:p>
    <w:p>
      <w:pPr>
        <w:ind w:left="420"/>
      </w:pPr>
      <w:r>
        <w:t xml:space="preserve">3. den Umschließungen von Waren nach Nummer 1.</w:t>
      </w:r>
    </w:p>
    <w:p>
      <w:r>
        <w:t xml:space="preserve">Auf Verlangen ist eine Entnahmebestätigung auszustellen. Auf Verlangen des Hauptzollamts haben Erlaubnisinhaber zu Untersuchungszwecken unentgeltlich Proben zur Verfügung zu stellen.</w:t>
      </w:r>
    </w:p>
    <w:p>
      <w:r>
        <w:rPr>
          <w:color w:val="555555"/>
          <w:sz w:val="17"/>
        </w:rPr>
        <w:t xml:space="preserve">Zitiervorschlag: § 52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